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6B" w:rsidRPr="006F2A0B" w:rsidRDefault="00D75E6B" w:rsidP="00D75E6B">
      <w:pPr>
        <w:tabs>
          <w:tab w:val="left" w:pos="900"/>
        </w:tabs>
        <w:ind w:firstLine="540"/>
        <w:jc w:val="right"/>
        <w:rPr>
          <w:b/>
        </w:rPr>
      </w:pPr>
      <w:r w:rsidRPr="006F2A0B">
        <w:rPr>
          <w:b/>
        </w:rPr>
        <w:t>П</w:t>
      </w:r>
      <w:r w:rsidR="004A7FE1" w:rsidRPr="006F2A0B">
        <w:rPr>
          <w:b/>
        </w:rPr>
        <w:t>РИЛОЖЕНИЕ</w:t>
      </w:r>
      <w:r w:rsidRPr="006F2A0B">
        <w:rPr>
          <w:b/>
        </w:rPr>
        <w:t xml:space="preserve"> № 1</w:t>
      </w:r>
    </w:p>
    <w:p w:rsidR="00D75E6B" w:rsidRPr="006F2A0B" w:rsidRDefault="00D75E6B" w:rsidP="00D75E6B">
      <w:pPr>
        <w:tabs>
          <w:tab w:val="left" w:pos="900"/>
        </w:tabs>
        <w:ind w:firstLine="540"/>
        <w:jc w:val="both"/>
        <w:rPr>
          <w:b/>
        </w:rPr>
      </w:pPr>
    </w:p>
    <w:p w:rsidR="00C52CAD" w:rsidRPr="006F2A0B" w:rsidRDefault="00C52CAD" w:rsidP="00D75E6B">
      <w:pPr>
        <w:tabs>
          <w:tab w:val="left" w:pos="900"/>
        </w:tabs>
        <w:ind w:firstLine="540"/>
        <w:jc w:val="center"/>
        <w:rPr>
          <w:b/>
        </w:rPr>
      </w:pPr>
    </w:p>
    <w:p w:rsidR="0060181B" w:rsidRPr="006F2A0B" w:rsidRDefault="0060181B" w:rsidP="00D75E6B">
      <w:pPr>
        <w:tabs>
          <w:tab w:val="left" w:pos="900"/>
        </w:tabs>
        <w:ind w:firstLine="540"/>
        <w:jc w:val="center"/>
        <w:rPr>
          <w:b/>
        </w:rPr>
      </w:pPr>
    </w:p>
    <w:p w:rsidR="00D75E6B" w:rsidRPr="006F2A0B" w:rsidRDefault="00D75E6B" w:rsidP="00D75E6B">
      <w:pPr>
        <w:tabs>
          <w:tab w:val="left" w:pos="900"/>
        </w:tabs>
        <w:ind w:firstLine="540"/>
        <w:jc w:val="center"/>
        <w:rPr>
          <w:b/>
        </w:rPr>
      </w:pPr>
      <w:r w:rsidRPr="006F2A0B">
        <w:rPr>
          <w:b/>
        </w:rPr>
        <w:t>ТЕХНИЧЕСКА СПЕЦИФИКАЦИЯ</w:t>
      </w:r>
    </w:p>
    <w:p w:rsidR="00D75E6B" w:rsidRPr="006F2A0B" w:rsidRDefault="00D75E6B" w:rsidP="00D75E6B">
      <w:pPr>
        <w:tabs>
          <w:tab w:val="left" w:pos="900"/>
        </w:tabs>
        <w:ind w:firstLine="540"/>
        <w:jc w:val="both"/>
        <w:rPr>
          <w:b/>
        </w:rPr>
      </w:pPr>
    </w:p>
    <w:p w:rsidR="00D75E6B" w:rsidRPr="006F2A0B" w:rsidRDefault="00D75E6B" w:rsidP="00D75E6B">
      <w:pPr>
        <w:tabs>
          <w:tab w:val="num" w:pos="0"/>
          <w:tab w:val="left" w:pos="900"/>
        </w:tabs>
        <w:autoSpaceDE w:val="0"/>
        <w:autoSpaceDN w:val="0"/>
        <w:jc w:val="both"/>
        <w:rPr>
          <w:b/>
          <w:bCs/>
        </w:rPr>
      </w:pPr>
    </w:p>
    <w:p w:rsidR="00964E82" w:rsidRPr="006F2A0B" w:rsidRDefault="00D75E6B" w:rsidP="00964E82">
      <w:pPr>
        <w:tabs>
          <w:tab w:val="left" w:pos="900"/>
        </w:tabs>
        <w:ind w:firstLine="540"/>
        <w:jc w:val="both"/>
        <w:rPr>
          <w:b/>
        </w:rPr>
      </w:pPr>
      <w:r w:rsidRPr="006F2A0B">
        <w:rPr>
          <w:b/>
          <w:bCs/>
        </w:rPr>
        <w:t xml:space="preserve">за </w:t>
      </w:r>
      <w:r w:rsidR="00964E82" w:rsidRPr="006F2A0B">
        <w:rPr>
          <w:b/>
          <w:bCs/>
        </w:rPr>
        <w:t xml:space="preserve">предоставяне на услуга с предмет: </w:t>
      </w:r>
      <w:r w:rsidR="00964E82" w:rsidRPr="006F2A0B">
        <w:rPr>
          <w:b/>
        </w:rPr>
        <w:t>„</w:t>
      </w:r>
      <w:r w:rsidR="00E7001D">
        <w:rPr>
          <w:b/>
        </w:rPr>
        <w:t>Разходи за външни услуги – наемане на юристи за правна помощ</w:t>
      </w:r>
      <w:r w:rsidR="00964E82" w:rsidRPr="006F2A0B">
        <w:rPr>
          <w:b/>
        </w:rPr>
        <w:t>”</w:t>
      </w:r>
    </w:p>
    <w:p w:rsidR="00D75E6B" w:rsidRPr="006F2A0B" w:rsidRDefault="00D75E6B" w:rsidP="00D75E6B">
      <w:pPr>
        <w:tabs>
          <w:tab w:val="num" w:pos="0"/>
          <w:tab w:val="left" w:pos="900"/>
        </w:tabs>
        <w:autoSpaceDE w:val="0"/>
        <w:autoSpaceDN w:val="0"/>
        <w:jc w:val="both"/>
        <w:rPr>
          <w:b/>
          <w:bCs/>
        </w:rPr>
      </w:pPr>
    </w:p>
    <w:p w:rsidR="00D75E6B" w:rsidRPr="006F2A0B" w:rsidRDefault="00D75E6B" w:rsidP="00D75E6B">
      <w:pPr>
        <w:tabs>
          <w:tab w:val="left" w:pos="900"/>
        </w:tabs>
        <w:ind w:firstLine="540"/>
        <w:jc w:val="both"/>
        <w:rPr>
          <w:b/>
        </w:rPr>
      </w:pPr>
    </w:p>
    <w:p w:rsidR="00964E82" w:rsidRPr="006F2A0B" w:rsidRDefault="00114DF0" w:rsidP="00964E82">
      <w:pPr>
        <w:pStyle w:val="Default"/>
        <w:tabs>
          <w:tab w:val="left" w:pos="900"/>
        </w:tabs>
        <w:ind w:firstLine="540"/>
        <w:jc w:val="both"/>
        <w:rPr>
          <w:b/>
          <w:bCs/>
        </w:rPr>
      </w:pPr>
      <w:r w:rsidRPr="006F2A0B">
        <w:rPr>
          <w:b/>
          <w:bCs/>
        </w:rPr>
        <w:t>1</w:t>
      </w:r>
      <w:r w:rsidR="00D75E6B" w:rsidRPr="006F2A0B">
        <w:rPr>
          <w:b/>
          <w:bCs/>
        </w:rPr>
        <w:t xml:space="preserve">. ОБЩА ХАРАКТЕРИСТИКА </w:t>
      </w:r>
    </w:p>
    <w:p w:rsidR="00964E82" w:rsidRPr="006F2A0B" w:rsidRDefault="00964E82" w:rsidP="00964E82">
      <w:pPr>
        <w:widowControl w:val="0"/>
        <w:tabs>
          <w:tab w:val="left" w:pos="142"/>
        </w:tabs>
        <w:spacing w:before="2" w:line="120" w:lineRule="exact"/>
        <w:jc w:val="both"/>
      </w:pPr>
    </w:p>
    <w:p w:rsidR="00964E82" w:rsidRPr="006F2A0B" w:rsidRDefault="00964E82" w:rsidP="00964E82">
      <w:pPr>
        <w:widowControl w:val="0"/>
        <w:tabs>
          <w:tab w:val="left" w:pos="142"/>
        </w:tabs>
        <w:ind w:right="49" w:firstLine="567"/>
        <w:jc w:val="both"/>
        <w:rPr>
          <w:bCs/>
        </w:rPr>
      </w:pPr>
      <w:r w:rsidRPr="006F2A0B">
        <w:rPr>
          <w:bCs/>
        </w:rPr>
        <w:t>Външна техническа помощ за осигуряване подкрепа и съдействие на Изпълнителна агенция по рибарство и аквакултури при изпълнение на Оперативна програма за развитие на сектор "Рибарство" /ОПРСР/ за периода 2007-2013 г.</w:t>
      </w:r>
    </w:p>
    <w:p w:rsidR="00964E82" w:rsidRPr="006F2A0B" w:rsidRDefault="00964E82" w:rsidP="00964E82">
      <w:pPr>
        <w:tabs>
          <w:tab w:val="left" w:pos="0"/>
        </w:tabs>
        <w:contextualSpacing/>
        <w:jc w:val="both"/>
        <w:rPr>
          <w:lang w:eastAsia="bg-BG"/>
        </w:rPr>
      </w:pPr>
    </w:p>
    <w:p w:rsidR="00964E82" w:rsidRPr="006F2A0B" w:rsidRDefault="00964E82" w:rsidP="00964E82">
      <w:pPr>
        <w:widowControl w:val="0"/>
        <w:tabs>
          <w:tab w:val="left" w:pos="142"/>
        </w:tabs>
        <w:ind w:right="-20" w:firstLine="567"/>
        <w:jc w:val="both"/>
        <w:rPr>
          <w:b/>
          <w:bCs/>
        </w:rPr>
      </w:pPr>
      <w:bookmarkStart w:id="0" w:name="_Toc353889622"/>
      <w:bookmarkStart w:id="1" w:name="_Toc386387103"/>
      <w:r w:rsidRPr="006F2A0B">
        <w:rPr>
          <w:b/>
          <w:bCs/>
        </w:rPr>
        <w:t>2. ЦЕЛИ НА УСЛУГАТА</w:t>
      </w:r>
      <w:bookmarkEnd w:id="0"/>
      <w:bookmarkEnd w:id="1"/>
    </w:p>
    <w:p w:rsidR="00964E82" w:rsidRPr="006F2A0B" w:rsidRDefault="00964E82" w:rsidP="00964E82">
      <w:pPr>
        <w:keepNext/>
        <w:numPr>
          <w:ilvl w:val="1"/>
          <w:numId w:val="0"/>
        </w:numPr>
        <w:tabs>
          <w:tab w:val="left" w:pos="284"/>
          <w:tab w:val="num" w:pos="1004"/>
          <w:tab w:val="left" w:pos="1200"/>
        </w:tabs>
        <w:suppressAutoHyphens/>
        <w:contextualSpacing/>
        <w:jc w:val="both"/>
        <w:outlineLvl w:val="1"/>
        <w:rPr>
          <w:b/>
          <w:bCs/>
          <w:lang w:eastAsia="bg-BG"/>
        </w:rPr>
      </w:pPr>
      <w:bookmarkStart w:id="2" w:name="_Toc190072740"/>
      <w:bookmarkStart w:id="3" w:name="_Toc353889623"/>
      <w:bookmarkStart w:id="4" w:name="_Toc386387104"/>
    </w:p>
    <w:p w:rsidR="00964E82" w:rsidRPr="006F2A0B" w:rsidRDefault="00964E82" w:rsidP="00964E82">
      <w:pPr>
        <w:widowControl w:val="0"/>
        <w:tabs>
          <w:tab w:val="left" w:pos="142"/>
          <w:tab w:val="num" w:pos="1004"/>
        </w:tabs>
        <w:ind w:right="-20" w:firstLine="567"/>
        <w:jc w:val="both"/>
        <w:rPr>
          <w:b/>
          <w:bCs/>
          <w:lang w:eastAsia="bg-BG"/>
        </w:rPr>
      </w:pPr>
      <w:r w:rsidRPr="006F2A0B">
        <w:rPr>
          <w:b/>
          <w:bCs/>
          <w:lang w:eastAsia="bg-BG"/>
        </w:rPr>
        <w:t>2.1. Основна цел</w:t>
      </w:r>
      <w:bookmarkEnd w:id="2"/>
      <w:bookmarkEnd w:id="3"/>
      <w:bookmarkEnd w:id="4"/>
    </w:p>
    <w:p w:rsidR="00114DF0" w:rsidRPr="006F2A0B" w:rsidRDefault="00114DF0" w:rsidP="00964E82">
      <w:pPr>
        <w:widowControl w:val="0"/>
        <w:tabs>
          <w:tab w:val="left" w:pos="142"/>
          <w:tab w:val="num" w:pos="1004"/>
        </w:tabs>
        <w:ind w:right="-20" w:firstLine="567"/>
        <w:jc w:val="both"/>
        <w:rPr>
          <w:lang w:eastAsia="bg-BG"/>
        </w:rPr>
      </w:pPr>
    </w:p>
    <w:p w:rsidR="00964E82" w:rsidRPr="006F2A0B" w:rsidRDefault="00964E82" w:rsidP="00964E82">
      <w:pPr>
        <w:widowControl w:val="0"/>
        <w:tabs>
          <w:tab w:val="left" w:pos="142"/>
          <w:tab w:val="num" w:pos="1004"/>
        </w:tabs>
        <w:ind w:right="-20" w:firstLine="567"/>
        <w:jc w:val="both"/>
        <w:rPr>
          <w:b/>
          <w:bCs/>
          <w:lang w:eastAsia="bg-BG"/>
        </w:rPr>
      </w:pPr>
      <w:r w:rsidRPr="006F2A0B">
        <w:rPr>
          <w:lang w:eastAsia="bg-BG"/>
        </w:rPr>
        <w:t>Подпомагане на Управляващия орган на ОПРСР и регионалните му отдели за ефикасно изпълнение на дейностите, свързани с изпълнението, наблюдението и контрола, съгласно разпоредбите и предписанията на регламентите на ЕС в сектор Рибарство.</w:t>
      </w:r>
    </w:p>
    <w:p w:rsidR="00964E82" w:rsidRPr="006F2A0B" w:rsidRDefault="00964E82" w:rsidP="00964E82">
      <w:pPr>
        <w:keepNext/>
        <w:tabs>
          <w:tab w:val="left" w:pos="284"/>
        </w:tabs>
        <w:contextualSpacing/>
        <w:jc w:val="both"/>
        <w:rPr>
          <w:lang w:eastAsia="bg-BG"/>
        </w:rPr>
      </w:pPr>
    </w:p>
    <w:p w:rsidR="00964E82" w:rsidRPr="006F2A0B" w:rsidRDefault="00964E82" w:rsidP="00964E82">
      <w:pPr>
        <w:widowControl w:val="0"/>
        <w:tabs>
          <w:tab w:val="left" w:pos="142"/>
          <w:tab w:val="num" w:pos="1004"/>
        </w:tabs>
        <w:ind w:right="-20" w:firstLine="567"/>
        <w:jc w:val="both"/>
        <w:rPr>
          <w:b/>
          <w:bCs/>
          <w:lang w:eastAsia="bg-BG"/>
        </w:rPr>
      </w:pPr>
      <w:bookmarkStart w:id="5" w:name="_Toc190072741"/>
      <w:bookmarkStart w:id="6" w:name="_Toc353889624"/>
      <w:bookmarkStart w:id="7" w:name="_Toc386387105"/>
      <w:r w:rsidRPr="006F2A0B">
        <w:rPr>
          <w:b/>
          <w:bCs/>
          <w:lang w:eastAsia="bg-BG"/>
        </w:rPr>
        <w:t>2.</w:t>
      </w:r>
      <w:proofErr w:type="spellStart"/>
      <w:r w:rsidRPr="006F2A0B">
        <w:rPr>
          <w:b/>
          <w:bCs/>
          <w:lang w:eastAsia="bg-BG"/>
        </w:rPr>
        <w:t>2</w:t>
      </w:r>
      <w:proofErr w:type="spellEnd"/>
      <w:r w:rsidRPr="006F2A0B">
        <w:rPr>
          <w:b/>
          <w:bCs/>
          <w:lang w:eastAsia="bg-BG"/>
        </w:rPr>
        <w:t>. Специфични цели</w:t>
      </w:r>
      <w:bookmarkEnd w:id="5"/>
      <w:bookmarkEnd w:id="6"/>
      <w:bookmarkEnd w:id="7"/>
    </w:p>
    <w:p w:rsidR="00964E82" w:rsidRPr="006F2A0B" w:rsidRDefault="00964E82" w:rsidP="00964E82">
      <w:pPr>
        <w:jc w:val="both"/>
        <w:rPr>
          <w:sz w:val="22"/>
          <w:szCs w:val="22"/>
          <w:lang w:eastAsia="bg-BG"/>
        </w:rPr>
      </w:pPr>
    </w:p>
    <w:p w:rsidR="00964E82" w:rsidRPr="006F2A0B" w:rsidRDefault="00964E82" w:rsidP="00964E82">
      <w:pPr>
        <w:widowControl w:val="0"/>
        <w:tabs>
          <w:tab w:val="left" w:pos="142"/>
          <w:tab w:val="num" w:pos="1004"/>
        </w:tabs>
        <w:ind w:right="-20" w:firstLine="567"/>
        <w:jc w:val="both"/>
        <w:rPr>
          <w:lang w:eastAsia="bg-BG"/>
        </w:rPr>
      </w:pPr>
      <w:r w:rsidRPr="006F2A0B">
        <w:rPr>
          <w:lang w:eastAsia="bg-BG"/>
        </w:rPr>
        <w:t>Възлагането на обществената поръчка ще допринесе за постигане на следните специфични цели:</w:t>
      </w:r>
    </w:p>
    <w:p w:rsidR="00114DF0" w:rsidRPr="006F2A0B" w:rsidRDefault="00114DF0" w:rsidP="00964E82">
      <w:pPr>
        <w:widowControl w:val="0"/>
        <w:tabs>
          <w:tab w:val="left" w:pos="142"/>
          <w:tab w:val="num" w:pos="1004"/>
        </w:tabs>
        <w:ind w:right="-20" w:firstLine="567"/>
        <w:jc w:val="both"/>
        <w:rPr>
          <w:lang w:eastAsia="bg-BG"/>
        </w:rPr>
      </w:pPr>
    </w:p>
    <w:p w:rsidR="00114DF0" w:rsidRPr="006F2A0B" w:rsidRDefault="00964E82" w:rsidP="00964E82">
      <w:pPr>
        <w:widowControl w:val="0"/>
        <w:tabs>
          <w:tab w:val="left" w:pos="142"/>
          <w:tab w:val="num" w:pos="1004"/>
        </w:tabs>
        <w:ind w:right="-20" w:firstLine="567"/>
        <w:jc w:val="both"/>
        <w:rPr>
          <w:lang w:eastAsia="bg-BG"/>
        </w:rPr>
      </w:pPr>
      <w:r w:rsidRPr="006F2A0B">
        <w:rPr>
          <w:lang w:eastAsia="bg-BG"/>
        </w:rPr>
        <w:t>1. Подкрепа на Управляващия орган на ОПРСР при изпълнението на ОПРСР и предприемане на действия по анализ на документи, изследване на казуси и изготвяне на мотивирани становища при изпълнение на ОПРСР и одобрените проекти.</w:t>
      </w:r>
    </w:p>
    <w:p w:rsidR="00964E82" w:rsidRPr="006F2A0B" w:rsidRDefault="00964E82" w:rsidP="00964E82">
      <w:pPr>
        <w:widowControl w:val="0"/>
        <w:tabs>
          <w:tab w:val="left" w:pos="142"/>
          <w:tab w:val="num" w:pos="1004"/>
        </w:tabs>
        <w:ind w:right="-20" w:firstLine="567"/>
        <w:jc w:val="both"/>
        <w:rPr>
          <w:lang w:eastAsia="bg-BG"/>
        </w:rPr>
      </w:pPr>
      <w:r w:rsidRPr="006F2A0B">
        <w:rPr>
          <w:lang w:eastAsia="bg-BG"/>
        </w:rPr>
        <w:t xml:space="preserve"> </w:t>
      </w:r>
    </w:p>
    <w:p w:rsidR="00964E82" w:rsidRDefault="00964E82" w:rsidP="00964E82">
      <w:pPr>
        <w:widowControl w:val="0"/>
        <w:tabs>
          <w:tab w:val="left" w:pos="142"/>
          <w:tab w:val="num" w:pos="1004"/>
        </w:tabs>
        <w:ind w:right="-20" w:firstLine="567"/>
        <w:jc w:val="both"/>
        <w:rPr>
          <w:lang w:eastAsia="bg-BG"/>
        </w:rPr>
      </w:pPr>
      <w:r w:rsidRPr="006F2A0B">
        <w:rPr>
          <w:lang w:eastAsia="bg-BG"/>
        </w:rPr>
        <w:t>2. Подкрепа на Управляващия орган на ОПРСР в случаите на възникнала необходимост от изготвяне и/или даване на експертни становища по технически спецификации, задания и методики за оценки при избор на изпълнители на дейности по проекти, финансирани по Оперативна програма “Рибарство” 2007-2013.</w:t>
      </w:r>
    </w:p>
    <w:p w:rsidR="00E7001D" w:rsidRDefault="00E7001D" w:rsidP="00964E82">
      <w:pPr>
        <w:widowControl w:val="0"/>
        <w:tabs>
          <w:tab w:val="left" w:pos="142"/>
          <w:tab w:val="num" w:pos="1004"/>
        </w:tabs>
        <w:ind w:right="-20" w:firstLine="567"/>
        <w:jc w:val="both"/>
        <w:rPr>
          <w:lang w:eastAsia="bg-BG"/>
        </w:rPr>
      </w:pPr>
    </w:p>
    <w:p w:rsidR="00E7001D" w:rsidRPr="006F2A0B" w:rsidRDefault="00E7001D" w:rsidP="00964E82">
      <w:pPr>
        <w:widowControl w:val="0"/>
        <w:tabs>
          <w:tab w:val="left" w:pos="142"/>
          <w:tab w:val="num" w:pos="1004"/>
        </w:tabs>
        <w:ind w:right="-20" w:firstLine="567"/>
        <w:jc w:val="both"/>
        <w:rPr>
          <w:lang w:eastAsia="bg-BG"/>
        </w:rPr>
      </w:pPr>
      <w:r w:rsidRPr="004074FD">
        <w:rPr>
          <w:lang w:eastAsia="bg-BG"/>
        </w:rPr>
        <w:t xml:space="preserve">3. Подкрепа на Управляващия орган на ОПРСР във връзка с осигуряване на законосъобразност при изготвянето на документация и провеждането на процедури по реда на ЗОП, както и други </w:t>
      </w:r>
      <w:proofErr w:type="spellStart"/>
      <w:r w:rsidRPr="004074FD">
        <w:rPr>
          <w:lang w:eastAsia="bg-BG"/>
        </w:rPr>
        <w:t>законоустановени</w:t>
      </w:r>
      <w:proofErr w:type="spellEnd"/>
      <w:r w:rsidRPr="004074FD">
        <w:rPr>
          <w:lang w:eastAsia="bg-BG"/>
        </w:rPr>
        <w:t xml:space="preserve"> процедури свързани с дейността му</w:t>
      </w:r>
      <w:r>
        <w:rPr>
          <w:lang w:eastAsia="bg-BG"/>
        </w:rPr>
        <w:t>.</w:t>
      </w:r>
    </w:p>
    <w:p w:rsidR="00964E82" w:rsidRPr="006F2A0B" w:rsidRDefault="00964E82" w:rsidP="00964E82">
      <w:pPr>
        <w:widowControl w:val="0"/>
        <w:tabs>
          <w:tab w:val="left" w:pos="142"/>
          <w:tab w:val="num" w:pos="1004"/>
        </w:tabs>
        <w:ind w:right="-20" w:firstLine="567"/>
        <w:jc w:val="both"/>
        <w:rPr>
          <w:lang w:eastAsia="bg-BG"/>
        </w:rPr>
      </w:pPr>
    </w:p>
    <w:p w:rsidR="00964E82" w:rsidRPr="006F2A0B" w:rsidRDefault="00114DF0" w:rsidP="00964E82">
      <w:pPr>
        <w:widowControl w:val="0"/>
        <w:tabs>
          <w:tab w:val="left" w:pos="142"/>
          <w:tab w:val="num" w:pos="1004"/>
        </w:tabs>
        <w:ind w:right="-20" w:firstLine="567"/>
        <w:jc w:val="both"/>
        <w:rPr>
          <w:lang w:eastAsia="bg-BG"/>
        </w:rPr>
      </w:pPr>
      <w:r w:rsidRPr="006F2A0B">
        <w:rPr>
          <w:lang w:eastAsia="bg-BG"/>
        </w:rPr>
        <w:t>Реализацията на обществената поръчка</w:t>
      </w:r>
      <w:r w:rsidR="00964E82" w:rsidRPr="006F2A0B">
        <w:rPr>
          <w:lang w:eastAsia="bg-BG"/>
        </w:rPr>
        <w:t xml:space="preserve"> е пряко насочена към постигане на целите на </w:t>
      </w:r>
      <w:r w:rsidRPr="006F2A0B">
        <w:rPr>
          <w:lang w:eastAsia="bg-BG"/>
        </w:rPr>
        <w:t>Оперативна програма за развитие на сектор „Рибарство“</w:t>
      </w:r>
      <w:r w:rsidR="00964E82" w:rsidRPr="006F2A0B">
        <w:rPr>
          <w:lang w:eastAsia="bg-BG"/>
        </w:rPr>
        <w:t xml:space="preserve"> по </w:t>
      </w:r>
      <w:proofErr w:type="spellStart"/>
      <w:r w:rsidR="00964E82" w:rsidRPr="006F2A0B">
        <w:rPr>
          <w:lang w:eastAsia="bg-BG"/>
        </w:rPr>
        <w:t>Приритетна</w:t>
      </w:r>
      <w:proofErr w:type="spellEnd"/>
      <w:r w:rsidR="00964E82" w:rsidRPr="006F2A0B">
        <w:rPr>
          <w:lang w:eastAsia="bg-BG"/>
        </w:rPr>
        <w:t xml:space="preserve"> ос 5 “Техническа помощ”. Техническа помощ за подготовка, управление, наблюдение, </w:t>
      </w:r>
      <w:r w:rsidR="00964E82" w:rsidRPr="006F2A0B">
        <w:rPr>
          <w:lang w:eastAsia="bg-BG"/>
        </w:rPr>
        <w:lastRenderedPageBreak/>
        <w:t>оценка, информация, контрол и укрепване на административния капацитет за изпълнение на Оперативна програма “Рибарство” 2007-2013, а именно подпомагане на Управляващия орган на ОПРСР за ефективно изпълнение на дейностите, свързани с наблюдението и контрола на договори по ОПРСР.</w:t>
      </w:r>
      <w:bookmarkStart w:id="8" w:name="_Toc353889625"/>
      <w:bookmarkStart w:id="9" w:name="_Toc386387106"/>
    </w:p>
    <w:p w:rsidR="00964E82" w:rsidRPr="006F2A0B" w:rsidRDefault="00964E82" w:rsidP="00964E82">
      <w:pPr>
        <w:widowControl w:val="0"/>
        <w:tabs>
          <w:tab w:val="left" w:pos="142"/>
          <w:tab w:val="num" w:pos="1004"/>
        </w:tabs>
        <w:ind w:right="-20" w:firstLine="567"/>
        <w:jc w:val="both"/>
        <w:rPr>
          <w:lang w:eastAsia="bg-BG"/>
        </w:rPr>
      </w:pPr>
    </w:p>
    <w:p w:rsidR="002D6A40" w:rsidRPr="006F2A0B" w:rsidRDefault="002D6A40" w:rsidP="00964E82">
      <w:pPr>
        <w:widowControl w:val="0"/>
        <w:tabs>
          <w:tab w:val="left" w:pos="142"/>
          <w:tab w:val="num" w:pos="1004"/>
        </w:tabs>
        <w:ind w:right="-20" w:firstLine="567"/>
        <w:jc w:val="both"/>
        <w:rPr>
          <w:b/>
          <w:bCs/>
        </w:rPr>
      </w:pPr>
    </w:p>
    <w:p w:rsidR="002D6A40" w:rsidRPr="006F2A0B" w:rsidRDefault="002D6A40" w:rsidP="00964E82">
      <w:pPr>
        <w:widowControl w:val="0"/>
        <w:tabs>
          <w:tab w:val="left" w:pos="142"/>
          <w:tab w:val="num" w:pos="1004"/>
        </w:tabs>
        <w:ind w:right="-20" w:firstLine="567"/>
        <w:jc w:val="both"/>
        <w:rPr>
          <w:b/>
          <w:bCs/>
        </w:rPr>
      </w:pPr>
    </w:p>
    <w:p w:rsidR="00114DF0" w:rsidRPr="006F2A0B" w:rsidRDefault="00964E82" w:rsidP="00964E82">
      <w:pPr>
        <w:widowControl w:val="0"/>
        <w:tabs>
          <w:tab w:val="left" w:pos="142"/>
          <w:tab w:val="num" w:pos="1004"/>
        </w:tabs>
        <w:ind w:right="-20" w:firstLine="567"/>
        <w:jc w:val="both"/>
        <w:rPr>
          <w:b/>
          <w:bCs/>
        </w:rPr>
      </w:pPr>
      <w:r w:rsidRPr="006F2A0B">
        <w:rPr>
          <w:b/>
          <w:bCs/>
        </w:rPr>
        <w:t>3. ОБХВАТ НА УСЛУГАТА</w:t>
      </w:r>
      <w:bookmarkEnd w:id="8"/>
      <w:bookmarkEnd w:id="9"/>
    </w:p>
    <w:p w:rsidR="00964E82" w:rsidRPr="006F2A0B" w:rsidRDefault="00964E82" w:rsidP="00964E82">
      <w:pPr>
        <w:widowControl w:val="0"/>
        <w:tabs>
          <w:tab w:val="left" w:pos="142"/>
          <w:tab w:val="num" w:pos="1004"/>
        </w:tabs>
        <w:ind w:right="-20" w:firstLine="567"/>
        <w:jc w:val="both"/>
        <w:rPr>
          <w:lang w:eastAsia="bg-BG"/>
        </w:rPr>
      </w:pPr>
      <w:r w:rsidRPr="006F2A0B">
        <w:rPr>
          <w:b/>
          <w:bCs/>
        </w:rPr>
        <w:t xml:space="preserve"> </w:t>
      </w:r>
    </w:p>
    <w:p w:rsidR="00964E82" w:rsidRPr="006F2A0B" w:rsidRDefault="00964E82" w:rsidP="00964E82">
      <w:pPr>
        <w:widowControl w:val="0"/>
        <w:tabs>
          <w:tab w:val="left" w:pos="142"/>
          <w:tab w:val="num" w:pos="1004"/>
        </w:tabs>
        <w:ind w:right="-20" w:firstLine="567"/>
        <w:jc w:val="both"/>
        <w:rPr>
          <w:bCs/>
          <w:lang w:eastAsia="bg-BG"/>
        </w:rPr>
      </w:pPr>
      <w:r w:rsidRPr="006F2A0B">
        <w:rPr>
          <w:b/>
          <w:bCs/>
          <w:lang w:eastAsia="bg-BG"/>
        </w:rPr>
        <w:t>3.1.</w:t>
      </w:r>
      <w:r w:rsidRPr="006F2A0B">
        <w:rPr>
          <w:bCs/>
          <w:lang w:eastAsia="bg-BG"/>
        </w:rPr>
        <w:t xml:space="preserve"> </w:t>
      </w:r>
      <w:r w:rsidR="00114DF0" w:rsidRPr="006F2A0B">
        <w:rPr>
          <w:bCs/>
          <w:lang w:eastAsia="bg-BG"/>
        </w:rPr>
        <w:t>П</w:t>
      </w:r>
      <w:r w:rsidRPr="006F2A0B">
        <w:rPr>
          <w:bCs/>
          <w:lang w:eastAsia="bg-BG"/>
        </w:rPr>
        <w:t>редмет</w:t>
      </w:r>
      <w:r w:rsidR="00114DF0" w:rsidRPr="006F2A0B">
        <w:rPr>
          <w:bCs/>
          <w:lang w:eastAsia="bg-BG"/>
        </w:rPr>
        <w:t xml:space="preserve"> на услугата</w:t>
      </w:r>
      <w:r w:rsidRPr="006F2A0B">
        <w:rPr>
          <w:bCs/>
          <w:lang w:eastAsia="bg-BG"/>
        </w:rPr>
        <w:t>: Външна техническа помощ за осигуряване подкрепа и съдействие при изпълнение на Оперативна програма за развитие на сектор "Рибарство" /ОПРСР/ за периода 2007-2013 г., включва, като минимум, изпълнението на следен</w:t>
      </w:r>
      <w:r w:rsidR="00114DF0" w:rsidRPr="006F2A0B">
        <w:rPr>
          <w:bCs/>
          <w:lang w:eastAsia="bg-BG"/>
        </w:rPr>
        <w:t>ия</w:t>
      </w:r>
      <w:r w:rsidRPr="006F2A0B">
        <w:rPr>
          <w:bCs/>
          <w:lang w:eastAsia="bg-BG"/>
        </w:rPr>
        <w:t xml:space="preserve"> обхват от дейности: </w:t>
      </w:r>
    </w:p>
    <w:p w:rsidR="000D1729" w:rsidRPr="006F2A0B" w:rsidRDefault="000D1729" w:rsidP="00964E82">
      <w:pPr>
        <w:widowControl w:val="0"/>
        <w:tabs>
          <w:tab w:val="left" w:pos="142"/>
          <w:tab w:val="num" w:pos="1004"/>
        </w:tabs>
        <w:ind w:right="-20" w:firstLine="567"/>
        <w:jc w:val="both"/>
        <w:rPr>
          <w:lang w:eastAsia="bg-BG"/>
        </w:rPr>
      </w:pPr>
    </w:p>
    <w:p w:rsidR="00964E82" w:rsidRPr="006F2A0B" w:rsidRDefault="00964E82" w:rsidP="00964E82">
      <w:pPr>
        <w:widowControl w:val="0"/>
        <w:tabs>
          <w:tab w:val="left" w:pos="142"/>
          <w:tab w:val="num" w:pos="1004"/>
        </w:tabs>
        <w:ind w:right="-20" w:firstLine="567"/>
        <w:jc w:val="both"/>
        <w:rPr>
          <w:lang w:eastAsia="bg-BG"/>
        </w:rPr>
      </w:pPr>
      <w:r w:rsidRPr="006F2A0B">
        <w:rPr>
          <w:lang w:eastAsia="bg-BG"/>
        </w:rPr>
        <w:t xml:space="preserve">1. Дейности по осигуряване на подкрепа на Управляващия орган на ОПРСР при изпълнението на ОПРСР и предприемане на действия по анализ на документи, изследване на казуси и изготвяне на мотивирани становища при изпълнение на ОПРСР и одобрените проекти. </w:t>
      </w:r>
    </w:p>
    <w:p w:rsidR="000D1729" w:rsidRPr="006F2A0B" w:rsidRDefault="000D1729" w:rsidP="00964E82">
      <w:pPr>
        <w:widowControl w:val="0"/>
        <w:tabs>
          <w:tab w:val="left" w:pos="142"/>
          <w:tab w:val="num" w:pos="1004"/>
        </w:tabs>
        <w:ind w:right="-20" w:firstLine="567"/>
        <w:jc w:val="both"/>
        <w:rPr>
          <w:lang w:eastAsia="bg-BG"/>
        </w:rPr>
      </w:pPr>
    </w:p>
    <w:p w:rsidR="00964E82" w:rsidRDefault="00964E82" w:rsidP="00964E82">
      <w:pPr>
        <w:widowControl w:val="0"/>
        <w:tabs>
          <w:tab w:val="left" w:pos="142"/>
          <w:tab w:val="num" w:pos="1004"/>
        </w:tabs>
        <w:ind w:right="-20" w:firstLine="567"/>
        <w:jc w:val="both"/>
        <w:rPr>
          <w:lang w:eastAsia="bg-BG"/>
        </w:rPr>
      </w:pPr>
      <w:r w:rsidRPr="006F2A0B">
        <w:rPr>
          <w:lang w:eastAsia="bg-BG"/>
        </w:rPr>
        <w:t>2. Дейности по осигуряване на подкрепа на Управляващия орган на ОПРСР в случаите на възникнала необходимост от изготвяне и/или даване на експертни становища по технически спецификации, задания и методики за оценки при избор на изпълнители на дейности по проекти, финансирани по Оперативна програма “Рибарство” 2007-2013.</w:t>
      </w:r>
      <w:bookmarkStart w:id="10" w:name="_Toc353889627"/>
      <w:bookmarkStart w:id="11" w:name="_Toc386387107"/>
    </w:p>
    <w:p w:rsidR="00E941A4" w:rsidRDefault="00E941A4" w:rsidP="00964E82">
      <w:pPr>
        <w:widowControl w:val="0"/>
        <w:tabs>
          <w:tab w:val="left" w:pos="142"/>
          <w:tab w:val="num" w:pos="1004"/>
        </w:tabs>
        <w:ind w:right="-20" w:firstLine="567"/>
        <w:jc w:val="both"/>
        <w:rPr>
          <w:lang w:eastAsia="bg-BG"/>
        </w:rPr>
      </w:pPr>
    </w:p>
    <w:p w:rsidR="00E941A4" w:rsidRPr="006F2A0B" w:rsidRDefault="00E941A4" w:rsidP="00964E82">
      <w:pPr>
        <w:widowControl w:val="0"/>
        <w:tabs>
          <w:tab w:val="left" w:pos="142"/>
          <w:tab w:val="num" w:pos="1004"/>
        </w:tabs>
        <w:ind w:right="-20" w:firstLine="567"/>
        <w:jc w:val="both"/>
        <w:rPr>
          <w:lang w:eastAsia="bg-BG"/>
        </w:rPr>
      </w:pPr>
      <w:r>
        <w:rPr>
          <w:lang w:eastAsia="bg-BG"/>
        </w:rPr>
        <w:t xml:space="preserve">3. </w:t>
      </w:r>
      <w:r w:rsidRPr="004074FD">
        <w:t xml:space="preserve">Дейности по осигуряване на законосъобразност при изготвянето на документация и провеждането на процедури по реда на ЗОП, както и други </w:t>
      </w:r>
      <w:proofErr w:type="spellStart"/>
      <w:r w:rsidRPr="004074FD">
        <w:t>законоустановени</w:t>
      </w:r>
      <w:proofErr w:type="spellEnd"/>
      <w:r w:rsidRPr="004074FD">
        <w:t xml:space="preserve"> процедури</w:t>
      </w:r>
      <w:r w:rsidR="004074FD">
        <w:t xml:space="preserve"> свързани с дейността на Управля</w:t>
      </w:r>
      <w:r w:rsidRPr="004074FD">
        <w:t>ващия орган на ОПРСР.</w:t>
      </w:r>
    </w:p>
    <w:p w:rsidR="00964E82" w:rsidRPr="006F2A0B" w:rsidRDefault="00964E82" w:rsidP="00964E82">
      <w:pPr>
        <w:widowControl w:val="0"/>
        <w:tabs>
          <w:tab w:val="left" w:pos="142"/>
          <w:tab w:val="num" w:pos="1004"/>
        </w:tabs>
        <w:ind w:right="-20" w:firstLine="567"/>
        <w:jc w:val="both"/>
        <w:rPr>
          <w:lang w:eastAsia="bg-BG"/>
        </w:rPr>
      </w:pPr>
    </w:p>
    <w:p w:rsidR="00114DF0" w:rsidRPr="006F2A0B" w:rsidRDefault="00964E82" w:rsidP="00964E82">
      <w:pPr>
        <w:widowControl w:val="0"/>
        <w:tabs>
          <w:tab w:val="left" w:pos="142"/>
          <w:tab w:val="num" w:pos="1004"/>
        </w:tabs>
        <w:ind w:right="-20" w:firstLine="567"/>
        <w:jc w:val="both"/>
        <w:rPr>
          <w:b/>
          <w:lang w:eastAsia="bg-BG"/>
        </w:rPr>
      </w:pPr>
      <w:r w:rsidRPr="006F2A0B">
        <w:rPr>
          <w:b/>
          <w:lang w:eastAsia="bg-BG"/>
        </w:rPr>
        <w:t>3.2. Място на изпълнение на услугата</w:t>
      </w:r>
      <w:bookmarkEnd w:id="10"/>
      <w:bookmarkEnd w:id="11"/>
    </w:p>
    <w:p w:rsidR="0060181B" w:rsidRPr="006F2A0B" w:rsidRDefault="00964E82" w:rsidP="0060181B">
      <w:pPr>
        <w:widowControl w:val="0"/>
        <w:tabs>
          <w:tab w:val="left" w:pos="142"/>
          <w:tab w:val="num" w:pos="1004"/>
        </w:tabs>
        <w:ind w:right="-20" w:firstLine="567"/>
        <w:jc w:val="both"/>
        <w:rPr>
          <w:lang w:eastAsia="bg-BG"/>
        </w:rPr>
      </w:pPr>
      <w:r w:rsidRPr="006F2A0B">
        <w:rPr>
          <w:b/>
          <w:lang w:eastAsia="bg-BG"/>
        </w:rPr>
        <w:tab/>
      </w:r>
    </w:p>
    <w:p w:rsidR="0060181B" w:rsidRPr="006F2A0B" w:rsidRDefault="00114DF0" w:rsidP="0060181B">
      <w:pPr>
        <w:widowControl w:val="0"/>
        <w:tabs>
          <w:tab w:val="left" w:pos="142"/>
          <w:tab w:val="num" w:pos="1004"/>
        </w:tabs>
        <w:ind w:right="-20" w:firstLine="567"/>
        <w:jc w:val="both"/>
        <w:rPr>
          <w:b/>
          <w:bCs/>
          <w:caps/>
          <w:smallCaps/>
          <w:kern w:val="28"/>
          <w:szCs w:val="22"/>
          <w:lang w:eastAsia="bg-BG"/>
        </w:rPr>
      </w:pPr>
      <w:r w:rsidRPr="006F2A0B">
        <w:t xml:space="preserve">Местоизпълнението на поръчката е в Република България, като </w:t>
      </w:r>
      <w:r w:rsidRPr="006F2A0B">
        <w:rPr>
          <w:szCs w:val="22"/>
        </w:rPr>
        <w:t>предметът на обществената поръчка касае изпълнение на дейности на територията на цялата страна. Някои от видовете работи могат да се извършват в офиса на изпълнителя или на друго място, ако това е целесъобразно или се налага от спецификата на изпълнение на съответния вид дейност.</w:t>
      </w:r>
      <w:r w:rsidRPr="006F2A0B">
        <w:rPr>
          <w:b/>
          <w:bCs/>
          <w:caps/>
          <w:smallCaps/>
          <w:kern w:val="28"/>
          <w:szCs w:val="22"/>
          <w:lang w:eastAsia="bg-BG"/>
        </w:rPr>
        <w:t xml:space="preserve"> </w:t>
      </w:r>
    </w:p>
    <w:p w:rsidR="0060181B" w:rsidRPr="006F2A0B" w:rsidRDefault="00114DF0" w:rsidP="0060181B">
      <w:pPr>
        <w:widowControl w:val="0"/>
        <w:tabs>
          <w:tab w:val="left" w:pos="142"/>
          <w:tab w:val="num" w:pos="1004"/>
        </w:tabs>
        <w:ind w:right="-20" w:firstLine="567"/>
        <w:jc w:val="both"/>
        <w:rPr>
          <w:lang w:eastAsia="bg-BG"/>
        </w:rPr>
      </w:pPr>
      <w:r w:rsidRPr="006F2A0B">
        <w:rPr>
          <w:bCs/>
          <w:caps/>
          <w:smallCaps/>
          <w:kern w:val="28"/>
          <w:szCs w:val="22"/>
          <w:lang w:eastAsia="bg-BG"/>
        </w:rPr>
        <w:t>И</w:t>
      </w:r>
      <w:r w:rsidRPr="006F2A0B">
        <w:rPr>
          <w:szCs w:val="22"/>
        </w:rPr>
        <w:t>зпълнителят следва да извършва посещения на мястото на изпълнението на поръчката, когато е необходимо.</w:t>
      </w:r>
      <w:bookmarkStart w:id="12" w:name="_Toc353889628"/>
      <w:bookmarkStart w:id="13" w:name="_Toc386387108"/>
    </w:p>
    <w:p w:rsidR="0060181B" w:rsidRPr="006F2A0B" w:rsidRDefault="0060181B" w:rsidP="0060181B">
      <w:pPr>
        <w:widowControl w:val="0"/>
        <w:tabs>
          <w:tab w:val="left" w:pos="142"/>
          <w:tab w:val="num" w:pos="1004"/>
        </w:tabs>
        <w:ind w:right="-20" w:firstLine="567"/>
        <w:jc w:val="both"/>
        <w:rPr>
          <w:lang w:eastAsia="bg-BG"/>
        </w:rPr>
      </w:pPr>
    </w:p>
    <w:p w:rsidR="000D1729" w:rsidRPr="006F2A0B" w:rsidRDefault="000D1729" w:rsidP="0060181B">
      <w:pPr>
        <w:widowControl w:val="0"/>
        <w:tabs>
          <w:tab w:val="left" w:pos="142"/>
          <w:tab w:val="num" w:pos="1004"/>
        </w:tabs>
        <w:ind w:right="-20" w:firstLine="567"/>
        <w:jc w:val="both"/>
        <w:rPr>
          <w:b/>
          <w:bCs/>
          <w:caps/>
          <w:smallCaps/>
          <w:kern w:val="28"/>
          <w:szCs w:val="22"/>
          <w:lang w:eastAsia="bg-BG"/>
        </w:rPr>
      </w:pPr>
    </w:p>
    <w:p w:rsidR="000D1729" w:rsidRPr="006F2A0B" w:rsidRDefault="000D1729" w:rsidP="0060181B">
      <w:pPr>
        <w:widowControl w:val="0"/>
        <w:tabs>
          <w:tab w:val="left" w:pos="142"/>
          <w:tab w:val="num" w:pos="1004"/>
        </w:tabs>
        <w:ind w:right="-20" w:firstLine="567"/>
        <w:jc w:val="both"/>
        <w:rPr>
          <w:b/>
          <w:bCs/>
          <w:caps/>
          <w:smallCaps/>
          <w:kern w:val="28"/>
          <w:szCs w:val="22"/>
          <w:lang w:eastAsia="bg-BG"/>
        </w:rPr>
      </w:pPr>
    </w:p>
    <w:p w:rsidR="0060181B" w:rsidRPr="006F2A0B" w:rsidRDefault="00964E82" w:rsidP="0060181B">
      <w:pPr>
        <w:widowControl w:val="0"/>
        <w:tabs>
          <w:tab w:val="left" w:pos="142"/>
          <w:tab w:val="num" w:pos="1004"/>
        </w:tabs>
        <w:ind w:right="-20" w:firstLine="567"/>
        <w:jc w:val="both"/>
        <w:rPr>
          <w:b/>
          <w:bCs/>
          <w:caps/>
          <w:smallCaps/>
          <w:kern w:val="28"/>
          <w:szCs w:val="22"/>
          <w:lang w:eastAsia="bg-BG"/>
        </w:rPr>
      </w:pPr>
      <w:r w:rsidRPr="006F2A0B">
        <w:rPr>
          <w:b/>
          <w:bCs/>
          <w:caps/>
          <w:smallCaps/>
          <w:kern w:val="28"/>
          <w:szCs w:val="22"/>
          <w:lang w:eastAsia="bg-BG"/>
        </w:rPr>
        <w:t>4. ИЗИСКВАНИЯ КЪМ ЗАДАЧАТ</w:t>
      </w:r>
      <w:bookmarkEnd w:id="12"/>
      <w:bookmarkEnd w:id="13"/>
      <w:r w:rsidR="006F2A0B">
        <w:rPr>
          <w:b/>
          <w:bCs/>
          <w:caps/>
          <w:smallCaps/>
          <w:kern w:val="28"/>
          <w:szCs w:val="22"/>
          <w:lang w:eastAsia="bg-BG"/>
        </w:rPr>
        <w:t>А</w:t>
      </w:r>
    </w:p>
    <w:p w:rsidR="0060181B" w:rsidRPr="006F2A0B" w:rsidRDefault="0060181B" w:rsidP="0060181B">
      <w:pPr>
        <w:widowControl w:val="0"/>
        <w:tabs>
          <w:tab w:val="left" w:pos="142"/>
          <w:tab w:val="num" w:pos="1004"/>
        </w:tabs>
        <w:ind w:right="-20" w:firstLine="567"/>
        <w:jc w:val="both"/>
        <w:rPr>
          <w:b/>
          <w:bCs/>
          <w:caps/>
          <w:smallCaps/>
          <w:kern w:val="28"/>
          <w:szCs w:val="22"/>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szCs w:val="22"/>
        </w:rPr>
        <w:t xml:space="preserve">С цел постигане на ефективност и качествено изпълнение, изискванията към </w:t>
      </w:r>
      <w:r w:rsidRPr="006F2A0B">
        <w:t>характеристиките на услугата са както следва:</w:t>
      </w:r>
    </w:p>
    <w:p w:rsidR="0060181B" w:rsidRPr="006F2A0B" w:rsidRDefault="0060181B" w:rsidP="0060181B">
      <w:pPr>
        <w:widowControl w:val="0"/>
        <w:tabs>
          <w:tab w:val="left" w:pos="142"/>
          <w:tab w:val="num" w:pos="1004"/>
        </w:tabs>
        <w:ind w:right="-20" w:firstLine="567"/>
        <w:jc w:val="both"/>
        <w:rPr>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b/>
          <w:lang w:eastAsia="bg-BG"/>
        </w:rPr>
        <w:lastRenderedPageBreak/>
        <w:t>Дейност 1</w:t>
      </w:r>
      <w:r w:rsidRPr="006F2A0B">
        <w:rPr>
          <w:lang w:eastAsia="bg-BG"/>
        </w:rPr>
        <w:t xml:space="preserve"> </w:t>
      </w:r>
      <w:r w:rsidRPr="006F2A0B">
        <w:rPr>
          <w:b/>
          <w:lang w:eastAsia="bg-BG"/>
        </w:rPr>
        <w:t>„Подкрепа на Управляващия орган на ОПРСР при изпълнението на ОПРСР и предприемане на действия по анализ на документи, изследване на казуси и изготвяне на мотивирани становища при изпълнение на ОПРСР и одобрените проекти.</w:t>
      </w:r>
    </w:p>
    <w:p w:rsidR="0060181B" w:rsidRPr="006F2A0B" w:rsidRDefault="0060181B" w:rsidP="0060181B">
      <w:pPr>
        <w:widowControl w:val="0"/>
        <w:tabs>
          <w:tab w:val="left" w:pos="142"/>
          <w:tab w:val="num" w:pos="1004"/>
        </w:tabs>
        <w:ind w:right="-20" w:firstLine="567"/>
        <w:jc w:val="both"/>
        <w:rPr>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b/>
          <w:lang w:eastAsia="bg-BG"/>
        </w:rPr>
        <w:t>Прогнозна натовареност -</w:t>
      </w:r>
      <w:r w:rsidRPr="006F2A0B">
        <w:rPr>
          <w:lang w:eastAsia="bg-BG"/>
        </w:rPr>
        <w:t xml:space="preserve"> в зависимост от нуждите на възложителя.</w:t>
      </w:r>
    </w:p>
    <w:p w:rsidR="0060181B" w:rsidRPr="006F2A0B" w:rsidRDefault="0060181B" w:rsidP="0060181B">
      <w:pPr>
        <w:widowControl w:val="0"/>
        <w:tabs>
          <w:tab w:val="left" w:pos="142"/>
          <w:tab w:val="num" w:pos="1004"/>
        </w:tabs>
        <w:ind w:right="-20" w:firstLine="567"/>
        <w:jc w:val="both"/>
        <w:rPr>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b/>
          <w:lang w:eastAsia="bg-BG"/>
        </w:rPr>
        <w:t xml:space="preserve">Изисквания към </w:t>
      </w:r>
      <w:r w:rsidR="006F2A0B" w:rsidRPr="006F2A0B">
        <w:rPr>
          <w:b/>
          <w:lang w:eastAsia="bg-BG"/>
        </w:rPr>
        <w:t>изпълнението</w:t>
      </w:r>
    </w:p>
    <w:p w:rsidR="0060181B" w:rsidRPr="006F2A0B" w:rsidRDefault="0060181B" w:rsidP="0060181B">
      <w:pPr>
        <w:widowControl w:val="0"/>
        <w:tabs>
          <w:tab w:val="left" w:pos="142"/>
          <w:tab w:val="num" w:pos="1004"/>
        </w:tabs>
        <w:ind w:right="-20" w:firstLine="567"/>
        <w:jc w:val="both"/>
        <w:rPr>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lang w:eastAsia="bg-BG"/>
        </w:rPr>
        <w:t xml:space="preserve">Предоставяне на консултации и/или изготвяне на мотивирано становище при възникнали казуси, касаещи изпълнението на ОПРСР и/или одобрените проекти. Становищата следва да са съобразени с българското и европейско законодателство в съответната област. </w:t>
      </w:r>
    </w:p>
    <w:p w:rsidR="0060181B" w:rsidRPr="006F2A0B" w:rsidRDefault="0060181B" w:rsidP="0060181B">
      <w:pPr>
        <w:widowControl w:val="0"/>
        <w:tabs>
          <w:tab w:val="left" w:pos="142"/>
          <w:tab w:val="num" w:pos="1004"/>
        </w:tabs>
        <w:ind w:right="-20" w:firstLine="567"/>
        <w:jc w:val="both"/>
        <w:rPr>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b/>
          <w:lang w:eastAsia="bg-BG"/>
        </w:rPr>
        <w:t>Срокове:</w:t>
      </w:r>
    </w:p>
    <w:p w:rsidR="0060181B" w:rsidRPr="006F2A0B" w:rsidRDefault="0060181B" w:rsidP="0060181B">
      <w:pPr>
        <w:widowControl w:val="0"/>
        <w:tabs>
          <w:tab w:val="left" w:pos="142"/>
          <w:tab w:val="num" w:pos="1004"/>
        </w:tabs>
        <w:ind w:right="-20" w:firstLine="567"/>
        <w:jc w:val="both"/>
        <w:rPr>
          <w:lang w:eastAsia="bg-BG"/>
        </w:rPr>
      </w:pPr>
    </w:p>
    <w:p w:rsidR="0060181B" w:rsidRPr="006F2A0B" w:rsidRDefault="00964E82" w:rsidP="0060181B">
      <w:pPr>
        <w:widowControl w:val="0"/>
        <w:tabs>
          <w:tab w:val="left" w:pos="142"/>
          <w:tab w:val="num" w:pos="1004"/>
        </w:tabs>
        <w:ind w:right="-20" w:firstLine="567"/>
        <w:jc w:val="both"/>
        <w:rPr>
          <w:lang w:eastAsia="bg-BG"/>
        </w:rPr>
      </w:pPr>
      <w:r w:rsidRPr="006F2A0B">
        <w:rPr>
          <w:lang w:eastAsia="bg-BG"/>
        </w:rPr>
        <w:t>- Изготвяне на становище – до 7 работни дни</w:t>
      </w:r>
      <w:r w:rsidR="00E941A4">
        <w:rPr>
          <w:lang w:eastAsia="bg-BG"/>
        </w:rPr>
        <w:t xml:space="preserve"> или до указания от възложителя по-кратък срок</w:t>
      </w:r>
      <w:r w:rsidRPr="006F2A0B">
        <w:rPr>
          <w:lang w:eastAsia="bg-BG"/>
        </w:rPr>
        <w:t>;</w:t>
      </w:r>
    </w:p>
    <w:p w:rsidR="00964E82" w:rsidRPr="006F2A0B" w:rsidRDefault="00964E82" w:rsidP="0060181B">
      <w:pPr>
        <w:widowControl w:val="0"/>
        <w:tabs>
          <w:tab w:val="left" w:pos="142"/>
          <w:tab w:val="num" w:pos="1004"/>
        </w:tabs>
        <w:ind w:right="-20" w:firstLine="567"/>
        <w:jc w:val="both"/>
        <w:rPr>
          <w:lang w:eastAsia="bg-BG"/>
        </w:rPr>
      </w:pPr>
      <w:r w:rsidRPr="006F2A0B">
        <w:rPr>
          <w:lang w:eastAsia="bg-BG"/>
        </w:rPr>
        <w:t xml:space="preserve">- Предоставяне на консултации – по искане на възложителя, </w:t>
      </w:r>
      <w:r w:rsidRPr="006F2A0B">
        <w:rPr>
          <w:bCs/>
          <w:iCs/>
          <w:lang w:eastAsia="bg-BG"/>
        </w:rPr>
        <w:t xml:space="preserve">в срок от </w:t>
      </w:r>
      <w:r w:rsidRPr="006F2A0B">
        <w:rPr>
          <w:lang w:eastAsia="bg-BG"/>
        </w:rPr>
        <w:t>2</w:t>
      </w:r>
      <w:r w:rsidRPr="006F2A0B">
        <w:rPr>
          <w:bCs/>
          <w:iCs/>
          <w:lang w:eastAsia="bg-BG"/>
        </w:rPr>
        <w:t xml:space="preserve"> работни дни, от предоставяне на необходимите данни.</w:t>
      </w:r>
    </w:p>
    <w:p w:rsidR="00964E82" w:rsidRPr="006F2A0B" w:rsidRDefault="00964E82" w:rsidP="00964E82">
      <w:pPr>
        <w:tabs>
          <w:tab w:val="left" w:pos="720"/>
          <w:tab w:val="left" w:pos="900"/>
        </w:tabs>
        <w:ind w:firstLine="567"/>
        <w:contextualSpacing/>
        <w:jc w:val="both"/>
        <w:rPr>
          <w:sz w:val="22"/>
          <w:szCs w:val="22"/>
          <w:lang w:eastAsia="bg-BG"/>
        </w:rPr>
      </w:pPr>
    </w:p>
    <w:p w:rsidR="00964E82" w:rsidRPr="006F2A0B" w:rsidRDefault="00964E82" w:rsidP="00964E82">
      <w:pPr>
        <w:ind w:firstLine="567"/>
        <w:contextualSpacing/>
        <w:jc w:val="both"/>
      </w:pPr>
      <w:r w:rsidRPr="006F2A0B">
        <w:rPr>
          <w:b/>
          <w:lang w:eastAsia="bg-BG"/>
        </w:rPr>
        <w:t>Дейност № 2</w:t>
      </w:r>
      <w:r w:rsidRPr="006F2A0B">
        <w:rPr>
          <w:lang w:eastAsia="bg-BG"/>
        </w:rPr>
        <w:t xml:space="preserve"> </w:t>
      </w:r>
      <w:r w:rsidRPr="006F2A0B">
        <w:rPr>
          <w:b/>
          <w:lang w:eastAsia="bg-BG"/>
        </w:rPr>
        <w:t xml:space="preserve">„Подкрепа на Управляващия орган на ОПРСР, в случаите на възникнала необходимост от изготвяне и/или даване на експертни становища по технически спецификации, задания и методики за оценки при избор на изпълнители на дейности по проекти, финансирани по Оперативна програма “Рибарство” 2007-2013.” </w:t>
      </w:r>
    </w:p>
    <w:p w:rsidR="00964E82" w:rsidRPr="006F2A0B" w:rsidRDefault="00964E82" w:rsidP="00964E82">
      <w:pPr>
        <w:tabs>
          <w:tab w:val="left" w:pos="720"/>
          <w:tab w:val="left" w:pos="900"/>
        </w:tabs>
        <w:ind w:firstLine="567"/>
        <w:contextualSpacing/>
        <w:jc w:val="both"/>
        <w:rPr>
          <w:b/>
          <w:sz w:val="22"/>
          <w:szCs w:val="22"/>
          <w:lang w:eastAsia="bg-BG"/>
        </w:rPr>
      </w:pPr>
    </w:p>
    <w:p w:rsidR="00964E82" w:rsidRPr="006F2A0B" w:rsidRDefault="00964E82" w:rsidP="00964E82">
      <w:pPr>
        <w:tabs>
          <w:tab w:val="left" w:pos="720"/>
          <w:tab w:val="left" w:pos="900"/>
        </w:tabs>
        <w:ind w:firstLine="567"/>
        <w:contextualSpacing/>
        <w:jc w:val="both"/>
        <w:rPr>
          <w:b/>
          <w:szCs w:val="22"/>
          <w:lang w:eastAsia="bg-BG"/>
        </w:rPr>
      </w:pPr>
      <w:r w:rsidRPr="006F2A0B">
        <w:rPr>
          <w:b/>
          <w:szCs w:val="22"/>
          <w:lang w:eastAsia="bg-BG"/>
        </w:rPr>
        <w:t>Прогнозна натовареност -</w:t>
      </w:r>
      <w:r w:rsidRPr="006F2A0B">
        <w:rPr>
          <w:szCs w:val="22"/>
          <w:lang w:eastAsia="bg-BG"/>
        </w:rPr>
        <w:t xml:space="preserve"> в зависимост от нуждите на възложителя.</w:t>
      </w:r>
    </w:p>
    <w:p w:rsidR="00964E82" w:rsidRPr="006F2A0B" w:rsidRDefault="00964E82" w:rsidP="00964E82">
      <w:pPr>
        <w:tabs>
          <w:tab w:val="left" w:pos="720"/>
          <w:tab w:val="left" w:pos="900"/>
        </w:tabs>
        <w:ind w:firstLine="567"/>
        <w:contextualSpacing/>
        <w:jc w:val="both"/>
        <w:rPr>
          <w:b/>
          <w:szCs w:val="22"/>
          <w:lang w:eastAsia="bg-BG"/>
        </w:rPr>
      </w:pPr>
    </w:p>
    <w:p w:rsidR="00964E82" w:rsidRPr="006F2A0B" w:rsidRDefault="00964E82" w:rsidP="00964E82">
      <w:pPr>
        <w:tabs>
          <w:tab w:val="left" w:pos="720"/>
          <w:tab w:val="left" w:pos="900"/>
        </w:tabs>
        <w:ind w:firstLine="567"/>
        <w:contextualSpacing/>
        <w:jc w:val="both"/>
        <w:rPr>
          <w:b/>
          <w:szCs w:val="22"/>
          <w:lang w:eastAsia="bg-BG"/>
        </w:rPr>
      </w:pPr>
      <w:r w:rsidRPr="006F2A0B">
        <w:rPr>
          <w:b/>
          <w:szCs w:val="22"/>
          <w:lang w:eastAsia="bg-BG"/>
        </w:rPr>
        <w:t xml:space="preserve">Срокове: </w:t>
      </w:r>
    </w:p>
    <w:p w:rsidR="00114DF0" w:rsidRPr="006F2A0B" w:rsidRDefault="00114DF0" w:rsidP="00964E82">
      <w:pPr>
        <w:tabs>
          <w:tab w:val="left" w:pos="720"/>
          <w:tab w:val="left" w:pos="900"/>
        </w:tabs>
        <w:ind w:firstLine="567"/>
        <w:contextualSpacing/>
        <w:jc w:val="both"/>
        <w:rPr>
          <w:b/>
          <w:szCs w:val="22"/>
          <w:lang w:eastAsia="bg-BG"/>
        </w:rPr>
      </w:pPr>
    </w:p>
    <w:p w:rsidR="00964E82" w:rsidRPr="006F2A0B" w:rsidRDefault="00964E82" w:rsidP="00964E82">
      <w:pPr>
        <w:tabs>
          <w:tab w:val="left" w:pos="720"/>
          <w:tab w:val="left" w:pos="900"/>
        </w:tabs>
        <w:ind w:firstLine="567"/>
        <w:contextualSpacing/>
        <w:jc w:val="both"/>
        <w:rPr>
          <w:bCs/>
          <w:iCs/>
          <w:szCs w:val="22"/>
          <w:lang w:eastAsia="bg-BG"/>
        </w:rPr>
      </w:pPr>
      <w:r w:rsidRPr="006F2A0B">
        <w:rPr>
          <w:szCs w:val="22"/>
          <w:lang w:eastAsia="bg-BG"/>
        </w:rPr>
        <w:t>До 7 работни дни от предоставяне на необходимата информация, поискана писмено от избрания изпълнител.</w:t>
      </w:r>
    </w:p>
    <w:p w:rsidR="002D6A40" w:rsidRPr="006F2A0B" w:rsidRDefault="002D6A40" w:rsidP="00964E82">
      <w:pPr>
        <w:tabs>
          <w:tab w:val="left" w:pos="720"/>
          <w:tab w:val="left" w:pos="900"/>
        </w:tabs>
        <w:ind w:firstLine="567"/>
        <w:contextualSpacing/>
        <w:jc w:val="both"/>
        <w:rPr>
          <w:b/>
          <w:szCs w:val="22"/>
          <w:lang w:eastAsia="bg-BG"/>
        </w:rPr>
      </w:pPr>
    </w:p>
    <w:p w:rsidR="00964E82" w:rsidRPr="006F2A0B" w:rsidRDefault="00964E82" w:rsidP="00964E82">
      <w:pPr>
        <w:tabs>
          <w:tab w:val="left" w:pos="720"/>
          <w:tab w:val="left" w:pos="900"/>
        </w:tabs>
        <w:ind w:firstLine="567"/>
        <w:contextualSpacing/>
        <w:jc w:val="both"/>
        <w:rPr>
          <w:b/>
          <w:szCs w:val="22"/>
          <w:lang w:eastAsia="bg-BG"/>
        </w:rPr>
      </w:pPr>
      <w:r w:rsidRPr="006F2A0B">
        <w:rPr>
          <w:b/>
          <w:szCs w:val="22"/>
          <w:lang w:eastAsia="bg-BG"/>
        </w:rPr>
        <w:t xml:space="preserve">Изисквания към </w:t>
      </w:r>
      <w:r w:rsidR="006F2A0B" w:rsidRPr="006F2A0B">
        <w:rPr>
          <w:b/>
          <w:szCs w:val="22"/>
          <w:lang w:eastAsia="bg-BG"/>
        </w:rPr>
        <w:t>изпълнението</w:t>
      </w:r>
    </w:p>
    <w:p w:rsidR="00114DF0" w:rsidRPr="006F2A0B" w:rsidRDefault="00114DF0" w:rsidP="00964E82">
      <w:pPr>
        <w:tabs>
          <w:tab w:val="left" w:pos="720"/>
          <w:tab w:val="left" w:pos="900"/>
        </w:tabs>
        <w:ind w:firstLine="567"/>
        <w:contextualSpacing/>
        <w:jc w:val="both"/>
        <w:rPr>
          <w:b/>
          <w:szCs w:val="22"/>
          <w:lang w:eastAsia="bg-BG"/>
        </w:rPr>
      </w:pP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 xml:space="preserve">При изготвяне и/или даване на експертни становища по технически спецификации, задания и методики за оценки при избор на изпълнители на дейности по проекти, избрания изпълнител следва да се съобразява с българското и европейско законодателство в съответната област. </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 xml:space="preserve">Техническите спецификации следва да включват (където е приложимо), като минимум следната информация: </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1. посочване в следния ред на:</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а) български стандарти, които въвеждат европейски стандарти;</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б) европейски технически одобрения;</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в) общоприети технически спецификации;</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lastRenderedPageBreak/>
        <w:t>г) български стандарти, които въвеждат международни стандарти;</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д) други международни стандарти;</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е) други технически референции, създадени от европейски органи по стандартизация, или в случай на липса на такива - други национални стандарти, национални технически одобрения или национални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ж) технически спецификации, създадени и широко възприети от индустрията;</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з) национални стандарти в областта на отбраната и подобни на тях спецификации за оборудване и доставки в областта на отбраната;</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2. посочване на работни характеристики или функционални изисквания, които позволяват точно определяне на предмета на поръчката; функционалните изисквания могат да включват изисквания за опазване на околната среда;</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3. определяне на работни характеристики или функционални изисквания чрез посочване на технически спецификации по т. 1, позоваването на които се приема за постигане на съответствие;</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4. посочване на спецификации по т. 1 за част от характеристиките, а за друга част - посочване на работни характеристики или функционални изисквания по т. 2.</w:t>
      </w:r>
    </w:p>
    <w:p w:rsidR="006F2A0B" w:rsidRDefault="006F2A0B" w:rsidP="00964E82">
      <w:pPr>
        <w:tabs>
          <w:tab w:val="left" w:pos="720"/>
          <w:tab w:val="left" w:pos="900"/>
        </w:tabs>
        <w:ind w:firstLine="567"/>
        <w:contextualSpacing/>
        <w:jc w:val="both"/>
        <w:rPr>
          <w:szCs w:val="22"/>
          <w:lang w:eastAsia="bg-BG"/>
        </w:rPr>
      </w:pP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Всяко посочване на конкретен стандарт, спецификация, техническо одобрение или друга техническа референция по ал. 1, т. 1 следва да е допълнено чрез добавяне на думите "или еквивалент".</w:t>
      </w: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Техническите спецификации трябва да дават възможност за равен достъп на кандидатите или участниците за участие в процедурата и да не създават необосновани пречки пред конкуренцията.</w:t>
      </w:r>
    </w:p>
    <w:p w:rsidR="006F2A0B" w:rsidRDefault="006F2A0B" w:rsidP="00964E82">
      <w:pPr>
        <w:tabs>
          <w:tab w:val="left" w:pos="720"/>
          <w:tab w:val="left" w:pos="900"/>
        </w:tabs>
        <w:ind w:firstLine="567"/>
        <w:contextualSpacing/>
        <w:jc w:val="both"/>
        <w:rPr>
          <w:szCs w:val="22"/>
          <w:lang w:eastAsia="bg-BG"/>
        </w:rPr>
      </w:pPr>
    </w:p>
    <w:p w:rsidR="00964E82" w:rsidRPr="006F2A0B" w:rsidRDefault="00964E82" w:rsidP="00964E82">
      <w:pPr>
        <w:tabs>
          <w:tab w:val="left" w:pos="720"/>
          <w:tab w:val="left" w:pos="900"/>
        </w:tabs>
        <w:ind w:firstLine="567"/>
        <w:contextualSpacing/>
        <w:jc w:val="both"/>
        <w:rPr>
          <w:szCs w:val="22"/>
          <w:lang w:eastAsia="bg-BG"/>
        </w:rPr>
      </w:pPr>
      <w:r w:rsidRPr="006F2A0B">
        <w:rPr>
          <w:szCs w:val="22"/>
          <w:lang w:eastAsia="bg-BG"/>
        </w:rPr>
        <w:t>Техническите спецификации не трябва да се определят чрез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В изключителни случаи, когато е невъзможно предметът на поръчката да се опише точно и разбираемо по реда на чл. 30, ал. 1 и чл. 33, се допуска подобно посочване, като задължително се добавят думите "или еквивалент".</w:t>
      </w:r>
    </w:p>
    <w:p w:rsidR="00964E82" w:rsidRPr="006F2A0B" w:rsidRDefault="00964E82" w:rsidP="00D75E6B">
      <w:pPr>
        <w:pStyle w:val="Default"/>
        <w:ind w:firstLine="540"/>
        <w:jc w:val="both"/>
        <w:rPr>
          <w:rFonts w:cs="Calibri"/>
        </w:rPr>
      </w:pPr>
    </w:p>
    <w:p w:rsidR="00AE58AC" w:rsidRDefault="00AE58AC" w:rsidP="00AE58AC">
      <w:pPr>
        <w:widowControl w:val="0"/>
        <w:tabs>
          <w:tab w:val="left" w:pos="142"/>
          <w:tab w:val="num" w:pos="1004"/>
        </w:tabs>
        <w:ind w:right="-20" w:firstLine="567"/>
        <w:jc w:val="both"/>
        <w:rPr>
          <w:lang w:eastAsia="bg-BG"/>
        </w:rPr>
      </w:pPr>
      <w:r>
        <w:rPr>
          <w:b/>
          <w:lang w:eastAsia="bg-BG"/>
        </w:rPr>
        <w:t>Дейност 3 „</w:t>
      </w:r>
      <w:r w:rsidRPr="004074FD">
        <w:rPr>
          <w:lang w:eastAsia="bg-BG"/>
        </w:rPr>
        <w:t xml:space="preserve">Подкрепа на Управляващия орган на ОПРСР във връзка с осигуряване на законосъобразност при изготвянето на документация и провеждането на процедури по реда на ЗОП, както и други </w:t>
      </w:r>
      <w:proofErr w:type="spellStart"/>
      <w:r w:rsidRPr="004074FD">
        <w:rPr>
          <w:lang w:eastAsia="bg-BG"/>
        </w:rPr>
        <w:t>законоустановени</w:t>
      </w:r>
      <w:proofErr w:type="spellEnd"/>
      <w:r w:rsidRPr="004074FD">
        <w:rPr>
          <w:lang w:eastAsia="bg-BG"/>
        </w:rPr>
        <w:t xml:space="preserve"> процедури свързани с дейността му</w:t>
      </w:r>
      <w:r>
        <w:rPr>
          <w:lang w:eastAsia="bg-BG"/>
        </w:rPr>
        <w:t>.“</w:t>
      </w:r>
    </w:p>
    <w:p w:rsidR="00AE58AC" w:rsidRPr="006F2A0B" w:rsidRDefault="00AE58AC" w:rsidP="00AE58AC">
      <w:pPr>
        <w:widowControl w:val="0"/>
        <w:tabs>
          <w:tab w:val="left" w:pos="142"/>
          <w:tab w:val="num" w:pos="1004"/>
        </w:tabs>
        <w:ind w:right="-20" w:firstLine="567"/>
        <w:jc w:val="both"/>
        <w:rPr>
          <w:lang w:eastAsia="bg-BG"/>
        </w:rPr>
      </w:pPr>
      <w:r w:rsidRPr="006F2A0B">
        <w:rPr>
          <w:lang w:eastAsia="bg-BG"/>
        </w:rPr>
        <w:t xml:space="preserve"> </w:t>
      </w:r>
    </w:p>
    <w:p w:rsidR="00AE58AC" w:rsidRPr="006F2A0B" w:rsidRDefault="00AE58AC" w:rsidP="00AE58AC">
      <w:pPr>
        <w:widowControl w:val="0"/>
        <w:tabs>
          <w:tab w:val="left" w:pos="142"/>
          <w:tab w:val="num" w:pos="1004"/>
        </w:tabs>
        <w:ind w:right="-20" w:firstLine="567"/>
        <w:jc w:val="both"/>
        <w:rPr>
          <w:lang w:eastAsia="bg-BG"/>
        </w:rPr>
      </w:pPr>
      <w:r w:rsidRPr="006F2A0B">
        <w:rPr>
          <w:b/>
          <w:lang w:eastAsia="bg-BG"/>
        </w:rPr>
        <w:t>Прогнозна натовареност -</w:t>
      </w:r>
      <w:r w:rsidRPr="006F2A0B">
        <w:rPr>
          <w:lang w:eastAsia="bg-BG"/>
        </w:rPr>
        <w:t xml:space="preserve"> в зависимост от нуждите на възложителя.</w:t>
      </w:r>
      <w:bookmarkStart w:id="14" w:name="_GoBack"/>
      <w:bookmarkEnd w:id="14"/>
    </w:p>
    <w:p w:rsidR="00AE58AC" w:rsidRPr="006F2A0B" w:rsidRDefault="00AE58AC" w:rsidP="00AE58AC">
      <w:pPr>
        <w:widowControl w:val="0"/>
        <w:tabs>
          <w:tab w:val="left" w:pos="142"/>
          <w:tab w:val="num" w:pos="1004"/>
        </w:tabs>
        <w:ind w:right="-20" w:firstLine="567"/>
        <w:jc w:val="both"/>
        <w:rPr>
          <w:lang w:eastAsia="bg-BG"/>
        </w:rPr>
      </w:pPr>
    </w:p>
    <w:p w:rsidR="00AE58AC" w:rsidRPr="006F2A0B" w:rsidRDefault="00AE58AC" w:rsidP="00AE58AC">
      <w:pPr>
        <w:widowControl w:val="0"/>
        <w:tabs>
          <w:tab w:val="left" w:pos="142"/>
          <w:tab w:val="num" w:pos="1004"/>
        </w:tabs>
        <w:ind w:right="-20" w:firstLine="567"/>
        <w:jc w:val="both"/>
        <w:rPr>
          <w:lang w:eastAsia="bg-BG"/>
        </w:rPr>
      </w:pPr>
      <w:r w:rsidRPr="006F2A0B">
        <w:rPr>
          <w:b/>
          <w:lang w:eastAsia="bg-BG"/>
        </w:rPr>
        <w:t>Изисквания към изпълнението</w:t>
      </w:r>
    </w:p>
    <w:p w:rsidR="00AE58AC" w:rsidRPr="006F2A0B" w:rsidRDefault="00AE58AC" w:rsidP="00AE58AC">
      <w:pPr>
        <w:widowControl w:val="0"/>
        <w:tabs>
          <w:tab w:val="left" w:pos="142"/>
          <w:tab w:val="num" w:pos="1004"/>
        </w:tabs>
        <w:ind w:right="-20" w:firstLine="567"/>
        <w:jc w:val="both"/>
        <w:rPr>
          <w:lang w:eastAsia="bg-BG"/>
        </w:rPr>
      </w:pPr>
    </w:p>
    <w:p w:rsidR="00AE58AC" w:rsidRPr="006F2A0B" w:rsidRDefault="00AE58AC" w:rsidP="00AE58AC">
      <w:pPr>
        <w:widowControl w:val="0"/>
        <w:tabs>
          <w:tab w:val="left" w:pos="142"/>
          <w:tab w:val="num" w:pos="1004"/>
        </w:tabs>
        <w:ind w:right="-20" w:firstLine="567"/>
        <w:jc w:val="both"/>
        <w:rPr>
          <w:lang w:eastAsia="bg-BG"/>
        </w:rPr>
      </w:pPr>
      <w:r>
        <w:rPr>
          <w:lang w:eastAsia="bg-BG"/>
        </w:rPr>
        <w:t xml:space="preserve">Анализ на документацията и изготвяне/даване на експертни становища по конкретно заявени от възложителя казуси със сложен характер, свързани с процедурите по реда на ЗОП, както и други </w:t>
      </w:r>
      <w:proofErr w:type="spellStart"/>
      <w:r>
        <w:rPr>
          <w:lang w:eastAsia="bg-BG"/>
        </w:rPr>
        <w:t>законоустановени</w:t>
      </w:r>
      <w:proofErr w:type="spellEnd"/>
      <w:r>
        <w:rPr>
          <w:lang w:eastAsia="bg-BG"/>
        </w:rPr>
        <w:t xml:space="preserve"> процедури свързани с дейността на Управляващия орган. </w:t>
      </w:r>
    </w:p>
    <w:p w:rsidR="00AE58AC" w:rsidRPr="006F2A0B" w:rsidRDefault="00AE58AC" w:rsidP="00AE58AC">
      <w:pPr>
        <w:widowControl w:val="0"/>
        <w:tabs>
          <w:tab w:val="left" w:pos="142"/>
          <w:tab w:val="num" w:pos="1004"/>
        </w:tabs>
        <w:ind w:right="-20" w:firstLine="567"/>
        <w:jc w:val="both"/>
        <w:rPr>
          <w:lang w:eastAsia="bg-BG"/>
        </w:rPr>
      </w:pPr>
      <w:r w:rsidRPr="006F2A0B">
        <w:rPr>
          <w:b/>
          <w:lang w:eastAsia="bg-BG"/>
        </w:rPr>
        <w:lastRenderedPageBreak/>
        <w:t>Срокове:</w:t>
      </w:r>
    </w:p>
    <w:p w:rsidR="00AE58AC" w:rsidRPr="006F2A0B" w:rsidRDefault="00AE58AC" w:rsidP="00AE58AC">
      <w:pPr>
        <w:widowControl w:val="0"/>
        <w:tabs>
          <w:tab w:val="left" w:pos="142"/>
          <w:tab w:val="num" w:pos="1004"/>
        </w:tabs>
        <w:ind w:right="-20" w:firstLine="567"/>
        <w:jc w:val="both"/>
        <w:rPr>
          <w:lang w:eastAsia="bg-BG"/>
        </w:rPr>
      </w:pPr>
    </w:p>
    <w:p w:rsidR="00AE58AC" w:rsidRPr="006F2A0B" w:rsidRDefault="00AE58AC" w:rsidP="00AE58AC">
      <w:pPr>
        <w:widowControl w:val="0"/>
        <w:tabs>
          <w:tab w:val="left" w:pos="142"/>
          <w:tab w:val="num" w:pos="1004"/>
        </w:tabs>
        <w:ind w:right="-20" w:firstLine="567"/>
        <w:jc w:val="both"/>
        <w:rPr>
          <w:lang w:eastAsia="bg-BG"/>
        </w:rPr>
      </w:pPr>
      <w:r w:rsidRPr="006F2A0B">
        <w:rPr>
          <w:lang w:eastAsia="bg-BG"/>
        </w:rPr>
        <w:t>- Изготвяне на становище – до 7 работни дни</w:t>
      </w:r>
      <w:r>
        <w:rPr>
          <w:lang w:eastAsia="bg-BG"/>
        </w:rPr>
        <w:t xml:space="preserve"> или до указания от възложителя по-кратък срок</w:t>
      </w:r>
      <w:r w:rsidRPr="006F2A0B">
        <w:rPr>
          <w:lang w:eastAsia="bg-BG"/>
        </w:rPr>
        <w:t>;</w:t>
      </w:r>
    </w:p>
    <w:p w:rsidR="00AE58AC" w:rsidRPr="006F2A0B" w:rsidRDefault="00AE58AC" w:rsidP="00AE58AC">
      <w:pPr>
        <w:widowControl w:val="0"/>
        <w:tabs>
          <w:tab w:val="left" w:pos="142"/>
          <w:tab w:val="num" w:pos="1004"/>
        </w:tabs>
        <w:ind w:right="-20" w:firstLine="567"/>
        <w:jc w:val="both"/>
        <w:rPr>
          <w:lang w:eastAsia="bg-BG"/>
        </w:rPr>
      </w:pPr>
      <w:r w:rsidRPr="006F2A0B">
        <w:rPr>
          <w:lang w:eastAsia="bg-BG"/>
        </w:rPr>
        <w:t xml:space="preserve">- Предоставяне на консултации – по искане на възложителя, </w:t>
      </w:r>
      <w:r w:rsidRPr="006F2A0B">
        <w:rPr>
          <w:bCs/>
          <w:iCs/>
          <w:lang w:eastAsia="bg-BG"/>
        </w:rPr>
        <w:t xml:space="preserve">в срок от </w:t>
      </w:r>
      <w:r w:rsidRPr="006F2A0B">
        <w:rPr>
          <w:lang w:eastAsia="bg-BG"/>
        </w:rPr>
        <w:t>2</w:t>
      </w:r>
      <w:r w:rsidRPr="006F2A0B">
        <w:rPr>
          <w:bCs/>
          <w:iCs/>
          <w:lang w:eastAsia="bg-BG"/>
        </w:rPr>
        <w:t xml:space="preserve"> работни дни, от предоставяне на необходимите данни.</w:t>
      </w:r>
    </w:p>
    <w:p w:rsidR="00964E82" w:rsidRPr="006F2A0B" w:rsidRDefault="00964E82" w:rsidP="00D75E6B">
      <w:pPr>
        <w:pStyle w:val="Default"/>
        <w:ind w:firstLine="540"/>
        <w:jc w:val="both"/>
        <w:rPr>
          <w:rFonts w:cs="Calibri"/>
        </w:rPr>
      </w:pPr>
    </w:p>
    <w:p w:rsidR="00964E82" w:rsidRPr="006F2A0B" w:rsidRDefault="00964E82" w:rsidP="00D75E6B">
      <w:pPr>
        <w:pStyle w:val="Default"/>
        <w:ind w:firstLine="540"/>
        <w:jc w:val="both"/>
        <w:rPr>
          <w:rFonts w:cs="Calibri"/>
        </w:rPr>
      </w:pPr>
    </w:p>
    <w:p w:rsidR="00964E82" w:rsidRPr="006F2A0B" w:rsidRDefault="00964E82" w:rsidP="00D75E6B">
      <w:pPr>
        <w:pStyle w:val="Default"/>
        <w:ind w:firstLine="540"/>
        <w:jc w:val="both"/>
        <w:rPr>
          <w:rFonts w:cs="Calibri"/>
        </w:rPr>
      </w:pPr>
    </w:p>
    <w:p w:rsidR="00D75E6B" w:rsidRPr="006F2A0B" w:rsidRDefault="00D75E6B" w:rsidP="00DA2F54">
      <w:pPr>
        <w:pStyle w:val="Header"/>
        <w:tabs>
          <w:tab w:val="left" w:pos="374"/>
        </w:tabs>
        <w:jc w:val="both"/>
        <w:rPr>
          <w:b/>
        </w:rPr>
      </w:pPr>
    </w:p>
    <w:sectPr w:rsidR="00D75E6B" w:rsidRPr="006F2A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CE" w:rsidRDefault="00820FCE" w:rsidP="006F2A0B">
      <w:r>
        <w:separator/>
      </w:r>
    </w:p>
  </w:endnote>
  <w:endnote w:type="continuationSeparator" w:id="0">
    <w:p w:rsidR="00820FCE" w:rsidRDefault="00820FCE" w:rsidP="006F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54" w:rsidRPr="00DA2F54" w:rsidRDefault="00DA2F54" w:rsidP="00DA2F54">
    <w:pPr>
      <w:tabs>
        <w:tab w:val="center" w:pos="4536"/>
        <w:tab w:val="right" w:pos="9072"/>
      </w:tabs>
      <w:jc w:val="center"/>
      <w:rPr>
        <w:i/>
        <w:sz w:val="18"/>
        <w:szCs w:val="18"/>
        <w:lang w:eastAsia="fr-FR"/>
      </w:rPr>
    </w:pPr>
    <w:r w:rsidRPr="00DA2F54">
      <w:rPr>
        <w:i/>
        <w:sz w:val="18"/>
        <w:szCs w:val="18"/>
        <w:lang w:eastAsia="fr-FR"/>
      </w:rPr>
      <w:t>„</w:t>
    </w:r>
    <w:r w:rsidR="00E7001D">
      <w:rPr>
        <w:i/>
        <w:sz w:val="18"/>
        <w:szCs w:val="18"/>
        <w:lang w:eastAsia="fr-FR"/>
      </w:rPr>
      <w:t>Разходи за външни услуги – наемане на юристи за правна помощ.</w:t>
    </w:r>
    <w:r w:rsidRPr="00DA2F54">
      <w:rPr>
        <w:i/>
        <w:sz w:val="18"/>
        <w:szCs w:val="18"/>
        <w:lang w:eastAsia="fr-FR"/>
      </w:rPr>
      <w:t>”</w:t>
    </w:r>
  </w:p>
  <w:p w:rsidR="00DA2F54" w:rsidRPr="00DA2F54" w:rsidRDefault="00DA2F54" w:rsidP="00DA2F54">
    <w:pPr>
      <w:tabs>
        <w:tab w:val="center" w:pos="4536"/>
        <w:tab w:val="right" w:pos="9072"/>
      </w:tabs>
      <w:jc w:val="center"/>
      <w:rPr>
        <w:sz w:val="18"/>
        <w:szCs w:val="18"/>
        <w:lang w:eastAsia="fr-FR"/>
      </w:rPr>
    </w:pPr>
    <w:r w:rsidRPr="00DA2F54">
      <w:rPr>
        <w:sz w:val="18"/>
        <w:szCs w:val="18"/>
        <w:lang w:eastAsia="fr-FR"/>
      </w:rPr>
      <w:fldChar w:fldCharType="begin"/>
    </w:r>
    <w:r w:rsidRPr="00DA2F54">
      <w:rPr>
        <w:sz w:val="18"/>
        <w:szCs w:val="18"/>
        <w:lang w:eastAsia="fr-FR"/>
      </w:rPr>
      <w:instrText xml:space="preserve"> PAGE </w:instrText>
    </w:r>
    <w:r w:rsidRPr="00DA2F54">
      <w:rPr>
        <w:sz w:val="18"/>
        <w:szCs w:val="18"/>
        <w:lang w:eastAsia="fr-FR"/>
      </w:rPr>
      <w:fldChar w:fldCharType="separate"/>
    </w:r>
    <w:r w:rsidR="004074FD">
      <w:rPr>
        <w:noProof/>
        <w:sz w:val="18"/>
        <w:szCs w:val="18"/>
        <w:lang w:eastAsia="fr-FR"/>
      </w:rPr>
      <w:t>4</w:t>
    </w:r>
    <w:r w:rsidRPr="00DA2F54">
      <w:rPr>
        <w:sz w:val="18"/>
        <w:szCs w:val="18"/>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CE" w:rsidRDefault="00820FCE" w:rsidP="006F2A0B">
      <w:r>
        <w:separator/>
      </w:r>
    </w:p>
  </w:footnote>
  <w:footnote w:type="continuationSeparator" w:id="0">
    <w:p w:rsidR="00820FCE" w:rsidRDefault="00820FCE" w:rsidP="006F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2" w:type="dxa"/>
      <w:jc w:val="center"/>
      <w:tblBorders>
        <w:bottom w:val="single" w:sz="4" w:space="0" w:color="auto"/>
      </w:tblBorders>
      <w:tblLook w:val="04A0" w:firstRow="1" w:lastRow="0" w:firstColumn="1" w:lastColumn="0" w:noHBand="0" w:noVBand="1"/>
    </w:tblPr>
    <w:tblGrid>
      <w:gridCol w:w="1951"/>
      <w:gridCol w:w="6741"/>
      <w:gridCol w:w="1520"/>
    </w:tblGrid>
    <w:tr w:rsidR="006F2A0B" w:rsidRPr="006F2A0B" w:rsidTr="006F2A0B">
      <w:trPr>
        <w:trHeight w:val="1602"/>
        <w:jc w:val="center"/>
      </w:trPr>
      <w:tc>
        <w:tcPr>
          <w:tcW w:w="1951" w:type="dxa"/>
          <w:shd w:val="clear" w:color="auto" w:fill="auto"/>
          <w:vAlign w:val="center"/>
        </w:tcPr>
        <w:p w:rsidR="006F2A0B" w:rsidRPr="006F2A0B" w:rsidRDefault="006F2A0B" w:rsidP="006F2A0B">
          <w:pPr>
            <w:tabs>
              <w:tab w:val="center" w:pos="4536"/>
              <w:tab w:val="right" w:pos="9072"/>
            </w:tabs>
            <w:jc w:val="center"/>
            <w:rPr>
              <w:rFonts w:ascii="Monotype Corsiva" w:hAnsi="Monotype Corsiva" w:cs="Monotype Corsiva"/>
              <w:noProof/>
              <w:lang w:bidi="en-US"/>
            </w:rPr>
          </w:pPr>
          <w:r>
            <w:rPr>
              <w:rFonts w:ascii="Calibri" w:hAnsi="Calibri"/>
              <w:noProof/>
              <w:sz w:val="22"/>
              <w:szCs w:val="22"/>
              <w:lang w:eastAsia="bg-BG"/>
            </w:rPr>
            <w:drawing>
              <wp:inline distT="0" distB="0" distL="0" distR="0" wp14:anchorId="52876C91" wp14:editId="305CDED4">
                <wp:extent cx="1076325" cy="752475"/>
                <wp:effectExtent l="0" t="0" r="9525" b="9525"/>
                <wp:docPr id="2" name="Картина 2" descr="Описание: Description: 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Description: E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6741" w:type="dxa"/>
          <w:shd w:val="clear" w:color="auto" w:fill="auto"/>
          <w:vAlign w:val="center"/>
        </w:tcPr>
        <w:p w:rsidR="006F2A0B" w:rsidRPr="006F2A0B" w:rsidRDefault="006F2A0B" w:rsidP="006F2A0B">
          <w:pPr>
            <w:tabs>
              <w:tab w:val="center" w:pos="4153"/>
              <w:tab w:val="center" w:pos="4421"/>
              <w:tab w:val="left" w:pos="7725"/>
              <w:tab w:val="right" w:pos="8306"/>
            </w:tabs>
            <w:jc w:val="center"/>
            <w:rPr>
              <w:rFonts w:ascii="Calibri" w:hAnsi="Calibri"/>
              <w:b/>
              <w:noProof/>
              <w:sz w:val="18"/>
              <w:szCs w:val="18"/>
              <w:lang w:bidi="en-US"/>
            </w:rPr>
          </w:pPr>
          <w:r w:rsidRPr="006F2A0B">
            <w:rPr>
              <w:rFonts w:ascii="Calibri" w:eastAsia="Calibri" w:hAnsi="Calibri"/>
              <w:b/>
              <w:bCs/>
              <w:noProof/>
              <w:sz w:val="18"/>
              <w:szCs w:val="18"/>
              <w:lang w:val="ru-RU" w:bidi="en-US"/>
            </w:rPr>
            <w:t xml:space="preserve">ПРОЕКТ </w:t>
          </w:r>
          <w:r w:rsidR="00E7001D">
            <w:rPr>
              <w:rFonts w:ascii="Calibri" w:hAnsi="Calibri"/>
              <w:b/>
              <w:noProof/>
              <w:sz w:val="18"/>
              <w:szCs w:val="18"/>
              <w:lang w:bidi="en-US"/>
            </w:rPr>
            <w:t>BG0713EFF-512-220484</w:t>
          </w:r>
        </w:p>
        <w:p w:rsidR="006F2A0B" w:rsidRPr="006F2A0B" w:rsidRDefault="006F2A0B" w:rsidP="006F2A0B">
          <w:pPr>
            <w:tabs>
              <w:tab w:val="center" w:pos="4536"/>
              <w:tab w:val="right" w:pos="9072"/>
            </w:tabs>
            <w:jc w:val="center"/>
            <w:rPr>
              <w:rFonts w:ascii="Calibri" w:hAnsi="Calibri"/>
              <w:i/>
              <w:iCs/>
              <w:noProof/>
              <w:color w:val="000000"/>
              <w:sz w:val="18"/>
              <w:szCs w:val="18"/>
              <w:lang w:bidi="en-US"/>
            </w:rPr>
          </w:pPr>
          <w:r w:rsidRPr="006F2A0B">
            <w:rPr>
              <w:rFonts w:ascii="Calibri" w:hAnsi="Calibri"/>
              <w:i/>
              <w:iCs/>
              <w:noProof/>
              <w:color w:val="000000"/>
              <w:sz w:val="18"/>
              <w:szCs w:val="18"/>
              <w:lang w:bidi="en-US"/>
            </w:rPr>
            <w:t>Проектът се осъществява с финансовата подкрепа на</w:t>
          </w:r>
        </w:p>
        <w:p w:rsidR="006F2A0B" w:rsidRPr="006F2A0B" w:rsidRDefault="006F2A0B" w:rsidP="006F2A0B">
          <w:pPr>
            <w:tabs>
              <w:tab w:val="center" w:pos="4536"/>
              <w:tab w:val="right" w:pos="9072"/>
            </w:tabs>
            <w:jc w:val="center"/>
            <w:rPr>
              <w:rFonts w:ascii="Calibri" w:hAnsi="Calibri"/>
              <w:i/>
              <w:iCs/>
              <w:noProof/>
              <w:color w:val="000000"/>
              <w:sz w:val="18"/>
              <w:szCs w:val="18"/>
              <w:lang w:bidi="en-US"/>
            </w:rPr>
          </w:pPr>
          <w:r w:rsidRPr="006F2A0B">
            <w:rPr>
              <w:rFonts w:ascii="Calibri" w:hAnsi="Calibri"/>
              <w:i/>
              <w:iCs/>
              <w:noProof/>
              <w:color w:val="000000"/>
              <w:sz w:val="18"/>
              <w:szCs w:val="18"/>
              <w:lang w:bidi="en-US"/>
            </w:rPr>
            <w:t>Оперативна програма за развитие на сектор „Рибарство”,</w:t>
          </w:r>
        </w:p>
        <w:p w:rsidR="006F2A0B" w:rsidRPr="006F2A0B" w:rsidRDefault="006F2A0B" w:rsidP="006F2A0B">
          <w:pPr>
            <w:tabs>
              <w:tab w:val="center" w:pos="4536"/>
              <w:tab w:val="right" w:pos="9072"/>
            </w:tabs>
            <w:jc w:val="center"/>
            <w:rPr>
              <w:rFonts w:ascii="Calibri" w:hAnsi="Calibri"/>
              <w:i/>
              <w:iCs/>
              <w:noProof/>
              <w:color w:val="000000"/>
              <w:sz w:val="18"/>
              <w:szCs w:val="18"/>
              <w:lang w:bidi="en-US"/>
            </w:rPr>
          </w:pPr>
          <w:r w:rsidRPr="006F2A0B">
            <w:rPr>
              <w:rFonts w:ascii="Calibri" w:hAnsi="Calibri"/>
              <w:i/>
              <w:iCs/>
              <w:noProof/>
              <w:color w:val="000000"/>
              <w:sz w:val="18"/>
              <w:szCs w:val="18"/>
              <w:lang w:bidi="en-US"/>
            </w:rPr>
            <w:t>съфинансирана от Европейския фонд за рибарство на Европейския съюз</w:t>
          </w:r>
        </w:p>
        <w:p w:rsidR="006F2A0B" w:rsidRPr="006F2A0B" w:rsidRDefault="006F2A0B" w:rsidP="006F2A0B">
          <w:pPr>
            <w:tabs>
              <w:tab w:val="center" w:pos="4536"/>
              <w:tab w:val="right" w:pos="9072"/>
            </w:tabs>
            <w:jc w:val="center"/>
            <w:rPr>
              <w:rFonts w:ascii="Monotype Corsiva" w:hAnsi="Monotype Corsiva" w:cs="Monotype Corsiva"/>
              <w:noProof/>
              <w:lang w:bidi="en-US"/>
            </w:rPr>
          </w:pPr>
          <w:r w:rsidRPr="006F2A0B">
            <w:rPr>
              <w:rFonts w:ascii="Monotype Corsiva" w:hAnsi="Monotype Corsiva" w:cs="Monotype Corsiva"/>
              <w:b/>
              <w:bCs/>
              <w:i/>
              <w:iCs/>
              <w:noProof/>
              <w:color w:val="000000"/>
              <w:lang w:bidi="en-US"/>
            </w:rPr>
            <w:t>Инвестиране</w:t>
          </w:r>
          <w:r w:rsidRPr="006F2A0B">
            <w:rPr>
              <w:rFonts w:ascii="Monotype Corsiva" w:hAnsi="Monotype Corsiva" w:cs="Monotype Corsiva"/>
              <w:b/>
              <w:bCs/>
              <w:i/>
              <w:iCs/>
              <w:noProof/>
              <w:color w:val="000000"/>
              <w:lang w:val="en-US" w:bidi="en-US"/>
            </w:rPr>
            <w:t xml:space="preserve"> в </w:t>
          </w:r>
          <w:r w:rsidRPr="006F2A0B">
            <w:rPr>
              <w:rFonts w:ascii="Monotype Corsiva" w:hAnsi="Monotype Corsiva" w:cs="Monotype Corsiva"/>
              <w:b/>
              <w:bCs/>
              <w:i/>
              <w:iCs/>
              <w:noProof/>
              <w:color w:val="000000"/>
              <w:lang w:bidi="en-US"/>
            </w:rPr>
            <w:t>устойчиво рибарство</w:t>
          </w:r>
        </w:p>
      </w:tc>
      <w:tc>
        <w:tcPr>
          <w:tcW w:w="0" w:type="auto"/>
          <w:shd w:val="clear" w:color="auto" w:fill="auto"/>
          <w:vAlign w:val="center"/>
        </w:tcPr>
        <w:p w:rsidR="006F2A0B" w:rsidRPr="006F2A0B" w:rsidRDefault="006F2A0B" w:rsidP="006F2A0B">
          <w:pPr>
            <w:tabs>
              <w:tab w:val="center" w:pos="4536"/>
              <w:tab w:val="right" w:pos="9072"/>
            </w:tabs>
            <w:jc w:val="center"/>
            <w:rPr>
              <w:rFonts w:ascii="Monotype Corsiva" w:hAnsi="Monotype Corsiva" w:cs="Monotype Corsiva"/>
              <w:noProof/>
              <w:lang w:bidi="en-US"/>
            </w:rPr>
          </w:pPr>
          <w:r>
            <w:rPr>
              <w:rFonts w:ascii="Calibri" w:hAnsi="Calibri"/>
              <w:noProof/>
              <w:sz w:val="22"/>
              <w:szCs w:val="22"/>
              <w:lang w:eastAsia="bg-BG"/>
            </w:rPr>
            <w:drawing>
              <wp:inline distT="0" distB="0" distL="0" distR="0" wp14:anchorId="64E813EE" wp14:editId="36518527">
                <wp:extent cx="733425" cy="7239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bl>
  <w:p w:rsidR="006F2A0B" w:rsidRDefault="006F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295"/>
    <w:multiLevelType w:val="hybridMultilevel"/>
    <w:tmpl w:val="094272EA"/>
    <w:lvl w:ilvl="0" w:tplc="04020001">
      <w:start w:val="1"/>
      <w:numFmt w:val="bullet"/>
      <w:lvlText w:val=""/>
      <w:lvlJc w:val="left"/>
      <w:pPr>
        <w:tabs>
          <w:tab w:val="num" w:pos="780"/>
        </w:tabs>
        <w:ind w:left="780" w:hanging="360"/>
      </w:pPr>
      <w:rPr>
        <w:rFonts w:ascii="Symbol" w:hAnsi="Symbol" w:hint="default"/>
      </w:rPr>
    </w:lvl>
    <w:lvl w:ilvl="1" w:tplc="04020003">
      <w:start w:val="1"/>
      <w:numFmt w:val="bullet"/>
      <w:lvlText w:val="o"/>
      <w:lvlJc w:val="left"/>
      <w:pPr>
        <w:tabs>
          <w:tab w:val="num" w:pos="1500"/>
        </w:tabs>
        <w:ind w:left="1500" w:hanging="360"/>
      </w:pPr>
      <w:rPr>
        <w:rFonts w:ascii="Courier New" w:hAnsi="Courier New" w:cs="Times New Roman" w:hint="default"/>
      </w:rPr>
    </w:lvl>
    <w:lvl w:ilvl="2" w:tplc="04020005">
      <w:start w:val="1"/>
      <w:numFmt w:val="bullet"/>
      <w:lvlText w:val=""/>
      <w:lvlJc w:val="left"/>
      <w:pPr>
        <w:tabs>
          <w:tab w:val="num" w:pos="2220"/>
        </w:tabs>
        <w:ind w:left="2220" w:hanging="360"/>
      </w:pPr>
      <w:rPr>
        <w:rFonts w:ascii="Wingdings" w:hAnsi="Wingdings" w:hint="default"/>
      </w:rPr>
    </w:lvl>
    <w:lvl w:ilvl="3" w:tplc="04020001">
      <w:start w:val="1"/>
      <w:numFmt w:val="bullet"/>
      <w:lvlText w:val=""/>
      <w:lvlJc w:val="left"/>
      <w:pPr>
        <w:tabs>
          <w:tab w:val="num" w:pos="2940"/>
        </w:tabs>
        <w:ind w:left="2940" w:hanging="360"/>
      </w:pPr>
      <w:rPr>
        <w:rFonts w:ascii="Symbol" w:hAnsi="Symbol" w:hint="default"/>
      </w:rPr>
    </w:lvl>
    <w:lvl w:ilvl="4" w:tplc="04020003">
      <w:start w:val="1"/>
      <w:numFmt w:val="bullet"/>
      <w:lvlText w:val="o"/>
      <w:lvlJc w:val="left"/>
      <w:pPr>
        <w:tabs>
          <w:tab w:val="num" w:pos="3660"/>
        </w:tabs>
        <w:ind w:left="3660" w:hanging="360"/>
      </w:pPr>
      <w:rPr>
        <w:rFonts w:ascii="Courier New" w:hAnsi="Courier New" w:cs="Times New Roman" w:hint="default"/>
      </w:rPr>
    </w:lvl>
    <w:lvl w:ilvl="5" w:tplc="04020005">
      <w:start w:val="1"/>
      <w:numFmt w:val="bullet"/>
      <w:lvlText w:val=""/>
      <w:lvlJc w:val="left"/>
      <w:pPr>
        <w:tabs>
          <w:tab w:val="num" w:pos="4380"/>
        </w:tabs>
        <w:ind w:left="4380" w:hanging="360"/>
      </w:pPr>
      <w:rPr>
        <w:rFonts w:ascii="Wingdings" w:hAnsi="Wingdings" w:hint="default"/>
      </w:rPr>
    </w:lvl>
    <w:lvl w:ilvl="6" w:tplc="04020001">
      <w:start w:val="1"/>
      <w:numFmt w:val="bullet"/>
      <w:lvlText w:val=""/>
      <w:lvlJc w:val="left"/>
      <w:pPr>
        <w:tabs>
          <w:tab w:val="num" w:pos="5100"/>
        </w:tabs>
        <w:ind w:left="5100" w:hanging="360"/>
      </w:pPr>
      <w:rPr>
        <w:rFonts w:ascii="Symbol" w:hAnsi="Symbol" w:hint="default"/>
      </w:rPr>
    </w:lvl>
    <w:lvl w:ilvl="7" w:tplc="04020003">
      <w:start w:val="1"/>
      <w:numFmt w:val="bullet"/>
      <w:lvlText w:val="o"/>
      <w:lvlJc w:val="left"/>
      <w:pPr>
        <w:tabs>
          <w:tab w:val="num" w:pos="5820"/>
        </w:tabs>
        <w:ind w:left="5820" w:hanging="360"/>
      </w:pPr>
      <w:rPr>
        <w:rFonts w:ascii="Courier New" w:hAnsi="Courier New" w:cs="Times New Roman" w:hint="default"/>
      </w:rPr>
    </w:lvl>
    <w:lvl w:ilvl="8" w:tplc="04020005">
      <w:start w:val="1"/>
      <w:numFmt w:val="bullet"/>
      <w:lvlText w:val=""/>
      <w:lvlJc w:val="left"/>
      <w:pPr>
        <w:tabs>
          <w:tab w:val="num" w:pos="6540"/>
        </w:tabs>
        <w:ind w:left="6540" w:hanging="360"/>
      </w:pPr>
      <w:rPr>
        <w:rFonts w:ascii="Wingdings" w:hAnsi="Wingdings" w:hint="default"/>
      </w:rPr>
    </w:lvl>
  </w:abstractNum>
  <w:abstractNum w:abstractNumId="1">
    <w:nsid w:val="07987822"/>
    <w:multiLevelType w:val="multilevel"/>
    <w:tmpl w:val="D2301EBE"/>
    <w:lvl w:ilvl="0">
      <w:start w:val="1"/>
      <w:numFmt w:val="decimal"/>
      <w:lvlText w:val="%1."/>
      <w:lvlJc w:val="left"/>
      <w:pPr>
        <w:ind w:left="900" w:hanging="360"/>
      </w:pPr>
    </w:lvl>
    <w:lvl w:ilvl="1">
      <w:start w:val="1"/>
      <w:numFmt w:val="decimal"/>
      <w:isLgl/>
      <w:lvlText w:val="%1.%2."/>
      <w:lvlJc w:val="left"/>
      <w:pPr>
        <w:ind w:left="1140" w:hanging="420"/>
      </w:pPr>
    </w:lvl>
    <w:lvl w:ilvl="2">
      <w:start w:val="1"/>
      <w:numFmt w:val="decimal"/>
      <w:isLgl/>
      <w:lvlText w:val="%1.%2.%3."/>
      <w:lvlJc w:val="left"/>
      <w:pPr>
        <w:ind w:left="1620" w:hanging="720"/>
      </w:pPr>
    </w:lvl>
    <w:lvl w:ilvl="3">
      <w:start w:val="1"/>
      <w:numFmt w:val="decimal"/>
      <w:isLgl/>
      <w:lvlText w:val="%1.%2.%3.%4."/>
      <w:lvlJc w:val="left"/>
      <w:pPr>
        <w:ind w:left="1800" w:hanging="720"/>
      </w:pPr>
    </w:lvl>
    <w:lvl w:ilvl="4">
      <w:start w:val="1"/>
      <w:numFmt w:val="decimal"/>
      <w:isLgl/>
      <w:lvlText w:val="%1.%2.%3.%4.%5."/>
      <w:lvlJc w:val="left"/>
      <w:pPr>
        <w:ind w:left="2340" w:hanging="1080"/>
      </w:pPr>
    </w:lvl>
    <w:lvl w:ilvl="5">
      <w:start w:val="1"/>
      <w:numFmt w:val="decimal"/>
      <w:isLgl/>
      <w:lvlText w:val="%1.%2.%3.%4.%5.%6."/>
      <w:lvlJc w:val="left"/>
      <w:pPr>
        <w:ind w:left="2520" w:hanging="1080"/>
      </w:pPr>
    </w:lvl>
    <w:lvl w:ilvl="6">
      <w:start w:val="1"/>
      <w:numFmt w:val="decimal"/>
      <w:isLgl/>
      <w:lvlText w:val="%1.%2.%3.%4.%5.%6.%7."/>
      <w:lvlJc w:val="left"/>
      <w:pPr>
        <w:ind w:left="3060" w:hanging="1440"/>
      </w:pPr>
    </w:lvl>
    <w:lvl w:ilvl="7">
      <w:start w:val="1"/>
      <w:numFmt w:val="decimal"/>
      <w:isLgl/>
      <w:lvlText w:val="%1.%2.%3.%4.%5.%6.%7.%8."/>
      <w:lvlJc w:val="left"/>
      <w:pPr>
        <w:ind w:left="3240" w:hanging="1440"/>
      </w:pPr>
    </w:lvl>
    <w:lvl w:ilvl="8">
      <w:start w:val="1"/>
      <w:numFmt w:val="decimal"/>
      <w:isLgl/>
      <w:lvlText w:val="%1.%2.%3.%4.%5.%6.%7.%8.%9."/>
      <w:lvlJc w:val="left"/>
      <w:pPr>
        <w:ind w:left="3780" w:hanging="1800"/>
      </w:pPr>
    </w:lvl>
  </w:abstractNum>
  <w:abstractNum w:abstractNumId="2">
    <w:nsid w:val="08D75878"/>
    <w:multiLevelType w:val="hybridMultilevel"/>
    <w:tmpl w:val="597C47A4"/>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2B620697"/>
    <w:multiLevelType w:val="hybridMultilevel"/>
    <w:tmpl w:val="6D6E88C0"/>
    <w:lvl w:ilvl="0" w:tplc="D8B67C62">
      <w:start w:val="1"/>
      <w:numFmt w:val="decimal"/>
      <w:lvlText w:val="%1."/>
      <w:lvlJc w:val="left"/>
      <w:pPr>
        <w:tabs>
          <w:tab w:val="num" w:pos="720"/>
        </w:tabs>
        <w:ind w:left="720" w:hanging="360"/>
      </w:pPr>
      <w:rPr>
        <w:rFonts w:cs="Times New Roman"/>
        <w:b w:val="0"/>
      </w:rPr>
    </w:lvl>
    <w:lvl w:ilvl="1" w:tplc="6C14A714">
      <w:numFmt w:val="none"/>
      <w:lvlText w:val=""/>
      <w:lvlJc w:val="left"/>
      <w:pPr>
        <w:tabs>
          <w:tab w:val="num" w:pos="360"/>
        </w:tabs>
        <w:ind w:left="0" w:firstLine="0"/>
      </w:pPr>
      <w:rPr>
        <w:rFonts w:cs="Times New Roman"/>
      </w:rPr>
    </w:lvl>
    <w:lvl w:ilvl="2" w:tplc="4A18F538">
      <w:numFmt w:val="none"/>
      <w:lvlText w:val=""/>
      <w:lvlJc w:val="left"/>
      <w:pPr>
        <w:tabs>
          <w:tab w:val="num" w:pos="360"/>
        </w:tabs>
        <w:ind w:left="0" w:firstLine="0"/>
      </w:pPr>
      <w:rPr>
        <w:rFonts w:cs="Times New Roman"/>
      </w:rPr>
    </w:lvl>
    <w:lvl w:ilvl="3" w:tplc="F5EE36F8">
      <w:numFmt w:val="none"/>
      <w:lvlText w:val=""/>
      <w:lvlJc w:val="left"/>
      <w:pPr>
        <w:tabs>
          <w:tab w:val="num" w:pos="360"/>
        </w:tabs>
        <w:ind w:left="0" w:firstLine="0"/>
      </w:pPr>
      <w:rPr>
        <w:rFonts w:cs="Times New Roman"/>
      </w:rPr>
    </w:lvl>
    <w:lvl w:ilvl="4" w:tplc="48288C14">
      <w:numFmt w:val="none"/>
      <w:lvlText w:val=""/>
      <w:lvlJc w:val="left"/>
      <w:pPr>
        <w:tabs>
          <w:tab w:val="num" w:pos="360"/>
        </w:tabs>
        <w:ind w:left="0" w:firstLine="0"/>
      </w:pPr>
      <w:rPr>
        <w:rFonts w:cs="Times New Roman"/>
      </w:rPr>
    </w:lvl>
    <w:lvl w:ilvl="5" w:tplc="74EE404A">
      <w:numFmt w:val="none"/>
      <w:lvlText w:val=""/>
      <w:lvlJc w:val="left"/>
      <w:pPr>
        <w:tabs>
          <w:tab w:val="num" w:pos="360"/>
        </w:tabs>
        <w:ind w:left="0" w:firstLine="0"/>
      </w:pPr>
      <w:rPr>
        <w:rFonts w:cs="Times New Roman"/>
      </w:rPr>
    </w:lvl>
    <w:lvl w:ilvl="6" w:tplc="C186CD2C">
      <w:numFmt w:val="none"/>
      <w:lvlText w:val=""/>
      <w:lvlJc w:val="left"/>
      <w:pPr>
        <w:tabs>
          <w:tab w:val="num" w:pos="360"/>
        </w:tabs>
        <w:ind w:left="0" w:firstLine="0"/>
      </w:pPr>
      <w:rPr>
        <w:rFonts w:cs="Times New Roman"/>
      </w:rPr>
    </w:lvl>
    <w:lvl w:ilvl="7" w:tplc="A802F1A4">
      <w:numFmt w:val="none"/>
      <w:lvlText w:val=""/>
      <w:lvlJc w:val="left"/>
      <w:pPr>
        <w:tabs>
          <w:tab w:val="num" w:pos="360"/>
        </w:tabs>
        <w:ind w:left="0" w:firstLine="0"/>
      </w:pPr>
      <w:rPr>
        <w:rFonts w:cs="Times New Roman"/>
      </w:rPr>
    </w:lvl>
    <w:lvl w:ilvl="8" w:tplc="D194BA54">
      <w:numFmt w:val="none"/>
      <w:lvlText w:val=""/>
      <w:lvlJc w:val="left"/>
      <w:pPr>
        <w:tabs>
          <w:tab w:val="num" w:pos="360"/>
        </w:tabs>
        <w:ind w:left="0" w:firstLine="0"/>
      </w:pPr>
      <w:rPr>
        <w:rFonts w:cs="Times New Roman"/>
      </w:rPr>
    </w:lvl>
  </w:abstractNum>
  <w:abstractNum w:abstractNumId="4">
    <w:nsid w:val="34585A64"/>
    <w:multiLevelType w:val="hybridMultilevel"/>
    <w:tmpl w:val="E508F31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36EA692E"/>
    <w:multiLevelType w:val="hybridMultilevel"/>
    <w:tmpl w:val="A36870DC"/>
    <w:lvl w:ilvl="0" w:tplc="04020001">
      <w:start w:val="1"/>
      <w:numFmt w:val="bullet"/>
      <w:lvlText w:val=""/>
      <w:lvlJc w:val="left"/>
      <w:pPr>
        <w:tabs>
          <w:tab w:val="num" w:pos="1287"/>
        </w:tabs>
        <w:ind w:left="1287" w:hanging="360"/>
      </w:pPr>
      <w:rPr>
        <w:rFonts w:ascii="Symbol" w:hAnsi="Symbol"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hint="default"/>
      </w:rPr>
    </w:lvl>
    <w:lvl w:ilvl="3" w:tplc="04020001">
      <w:start w:val="1"/>
      <w:numFmt w:val="bullet"/>
      <w:lvlText w:val=""/>
      <w:lvlJc w:val="left"/>
      <w:pPr>
        <w:tabs>
          <w:tab w:val="num" w:pos="3447"/>
        </w:tabs>
        <w:ind w:left="3447" w:hanging="360"/>
      </w:pPr>
      <w:rPr>
        <w:rFonts w:ascii="Symbol" w:hAnsi="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hint="default"/>
      </w:rPr>
    </w:lvl>
    <w:lvl w:ilvl="6" w:tplc="04020001">
      <w:start w:val="1"/>
      <w:numFmt w:val="bullet"/>
      <w:lvlText w:val=""/>
      <w:lvlJc w:val="left"/>
      <w:pPr>
        <w:tabs>
          <w:tab w:val="num" w:pos="5607"/>
        </w:tabs>
        <w:ind w:left="5607" w:hanging="360"/>
      </w:pPr>
      <w:rPr>
        <w:rFonts w:ascii="Symbol" w:hAnsi="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0C"/>
    <w:rsid w:val="000D1729"/>
    <w:rsid w:val="00114DF0"/>
    <w:rsid w:val="0029780C"/>
    <w:rsid w:val="002D6A40"/>
    <w:rsid w:val="004074FD"/>
    <w:rsid w:val="004A7FE1"/>
    <w:rsid w:val="0060181B"/>
    <w:rsid w:val="006F2A0B"/>
    <w:rsid w:val="00820FCE"/>
    <w:rsid w:val="00964E82"/>
    <w:rsid w:val="00AE58AC"/>
    <w:rsid w:val="00C52CAD"/>
    <w:rsid w:val="00CA320F"/>
    <w:rsid w:val="00D75E6B"/>
    <w:rsid w:val="00DA2F54"/>
    <w:rsid w:val="00DF55AE"/>
    <w:rsid w:val="00E7001D"/>
    <w:rsid w:val="00E941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1">
    <w:name w:val="Header Char1"/>
    <w:aliases w:val="Intestazione.int.intestazione Char,Intestazione.int Char,Char1 Char Char,Char2 Char1,Char5 Char Char,Char2 Char Char,Char5 Char1,Знак Знак Char"/>
    <w:link w:val="Header"/>
    <w:locked/>
    <w:rsid w:val="00D75E6B"/>
    <w:rPr>
      <w:sz w:val="24"/>
      <w:szCs w:val="24"/>
      <w:lang w:eastAsia="x-none"/>
    </w:rPr>
  </w:style>
  <w:style w:type="paragraph" w:styleId="Header">
    <w:name w:val="header"/>
    <w:aliases w:val="Intestazione.int.intestazione,Intestazione.int,Char1 Char,Char2,Char5 Char,Char2 Char,Char5,Знак Знак"/>
    <w:basedOn w:val="Normal"/>
    <w:link w:val="HeaderChar1"/>
    <w:unhideWhenUsed/>
    <w:rsid w:val="00D75E6B"/>
    <w:pPr>
      <w:tabs>
        <w:tab w:val="center" w:pos="4536"/>
        <w:tab w:val="right" w:pos="9072"/>
      </w:tabs>
    </w:pPr>
    <w:rPr>
      <w:rFonts w:asciiTheme="minorHAnsi" w:eastAsiaTheme="minorHAnsi" w:hAnsiTheme="minorHAnsi" w:cstheme="minorBidi"/>
      <w:lang w:eastAsia="x-none"/>
    </w:rPr>
  </w:style>
  <w:style w:type="character" w:customStyle="1" w:styleId="HeaderChar">
    <w:name w:val="Header Char"/>
    <w:basedOn w:val="DefaultParagraphFont"/>
    <w:uiPriority w:val="99"/>
    <w:semiHidden/>
    <w:rsid w:val="00D75E6B"/>
    <w:rPr>
      <w:rFonts w:ascii="Times New Roman" w:eastAsia="Times New Roman" w:hAnsi="Times New Roman" w:cs="Times New Roman"/>
      <w:sz w:val="24"/>
      <w:szCs w:val="24"/>
    </w:rPr>
  </w:style>
  <w:style w:type="paragraph" w:styleId="ListParagraph">
    <w:name w:val="List Paragraph"/>
    <w:basedOn w:val="Normal"/>
    <w:uiPriority w:val="34"/>
    <w:qFormat/>
    <w:rsid w:val="00D75E6B"/>
    <w:pPr>
      <w:spacing w:after="200" w:line="276" w:lineRule="auto"/>
      <w:ind w:left="720"/>
      <w:contextualSpacing/>
    </w:pPr>
    <w:rPr>
      <w:rFonts w:ascii="Calibri" w:eastAsia="Calibri" w:hAnsi="Calibri"/>
      <w:sz w:val="22"/>
      <w:szCs w:val="22"/>
    </w:rPr>
  </w:style>
  <w:style w:type="paragraph" w:customStyle="1" w:styleId="Default">
    <w:name w:val="Default"/>
    <w:rsid w:val="00D75E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6F2A0B"/>
    <w:pPr>
      <w:tabs>
        <w:tab w:val="center" w:pos="4536"/>
        <w:tab w:val="right" w:pos="9072"/>
      </w:tabs>
    </w:pPr>
  </w:style>
  <w:style w:type="character" w:customStyle="1" w:styleId="FooterChar">
    <w:name w:val="Footer Char"/>
    <w:basedOn w:val="DefaultParagraphFont"/>
    <w:link w:val="Footer"/>
    <w:uiPriority w:val="99"/>
    <w:rsid w:val="006F2A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A0B"/>
    <w:rPr>
      <w:rFonts w:ascii="Tahoma" w:hAnsi="Tahoma" w:cs="Tahoma"/>
      <w:sz w:val="16"/>
      <w:szCs w:val="16"/>
    </w:rPr>
  </w:style>
  <w:style w:type="character" w:customStyle="1" w:styleId="BalloonTextChar">
    <w:name w:val="Balloon Text Char"/>
    <w:basedOn w:val="DefaultParagraphFont"/>
    <w:link w:val="BalloonText"/>
    <w:uiPriority w:val="99"/>
    <w:semiHidden/>
    <w:rsid w:val="006F2A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1">
    <w:name w:val="Header Char1"/>
    <w:aliases w:val="Intestazione.int.intestazione Char,Intestazione.int Char,Char1 Char Char,Char2 Char1,Char5 Char Char,Char2 Char Char,Char5 Char1,Знак Знак Char"/>
    <w:link w:val="Header"/>
    <w:locked/>
    <w:rsid w:val="00D75E6B"/>
    <w:rPr>
      <w:sz w:val="24"/>
      <w:szCs w:val="24"/>
      <w:lang w:eastAsia="x-none"/>
    </w:rPr>
  </w:style>
  <w:style w:type="paragraph" w:styleId="Header">
    <w:name w:val="header"/>
    <w:aliases w:val="Intestazione.int.intestazione,Intestazione.int,Char1 Char,Char2,Char5 Char,Char2 Char,Char5,Знак Знак"/>
    <w:basedOn w:val="Normal"/>
    <w:link w:val="HeaderChar1"/>
    <w:unhideWhenUsed/>
    <w:rsid w:val="00D75E6B"/>
    <w:pPr>
      <w:tabs>
        <w:tab w:val="center" w:pos="4536"/>
        <w:tab w:val="right" w:pos="9072"/>
      </w:tabs>
    </w:pPr>
    <w:rPr>
      <w:rFonts w:asciiTheme="minorHAnsi" w:eastAsiaTheme="minorHAnsi" w:hAnsiTheme="minorHAnsi" w:cstheme="minorBidi"/>
      <w:lang w:eastAsia="x-none"/>
    </w:rPr>
  </w:style>
  <w:style w:type="character" w:customStyle="1" w:styleId="HeaderChar">
    <w:name w:val="Header Char"/>
    <w:basedOn w:val="DefaultParagraphFont"/>
    <w:uiPriority w:val="99"/>
    <w:semiHidden/>
    <w:rsid w:val="00D75E6B"/>
    <w:rPr>
      <w:rFonts w:ascii="Times New Roman" w:eastAsia="Times New Roman" w:hAnsi="Times New Roman" w:cs="Times New Roman"/>
      <w:sz w:val="24"/>
      <w:szCs w:val="24"/>
    </w:rPr>
  </w:style>
  <w:style w:type="paragraph" w:styleId="ListParagraph">
    <w:name w:val="List Paragraph"/>
    <w:basedOn w:val="Normal"/>
    <w:uiPriority w:val="34"/>
    <w:qFormat/>
    <w:rsid w:val="00D75E6B"/>
    <w:pPr>
      <w:spacing w:after="200" w:line="276" w:lineRule="auto"/>
      <w:ind w:left="720"/>
      <w:contextualSpacing/>
    </w:pPr>
    <w:rPr>
      <w:rFonts w:ascii="Calibri" w:eastAsia="Calibri" w:hAnsi="Calibri"/>
      <w:sz w:val="22"/>
      <w:szCs w:val="22"/>
    </w:rPr>
  </w:style>
  <w:style w:type="paragraph" w:customStyle="1" w:styleId="Default">
    <w:name w:val="Default"/>
    <w:rsid w:val="00D75E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6F2A0B"/>
    <w:pPr>
      <w:tabs>
        <w:tab w:val="center" w:pos="4536"/>
        <w:tab w:val="right" w:pos="9072"/>
      </w:tabs>
    </w:pPr>
  </w:style>
  <w:style w:type="character" w:customStyle="1" w:styleId="FooterChar">
    <w:name w:val="Footer Char"/>
    <w:basedOn w:val="DefaultParagraphFont"/>
    <w:link w:val="Footer"/>
    <w:uiPriority w:val="99"/>
    <w:rsid w:val="006F2A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A0B"/>
    <w:rPr>
      <w:rFonts w:ascii="Tahoma" w:hAnsi="Tahoma" w:cs="Tahoma"/>
      <w:sz w:val="16"/>
      <w:szCs w:val="16"/>
    </w:rPr>
  </w:style>
  <w:style w:type="character" w:customStyle="1" w:styleId="BalloonTextChar">
    <w:name w:val="Balloon Text Char"/>
    <w:basedOn w:val="DefaultParagraphFont"/>
    <w:link w:val="BalloonText"/>
    <w:uiPriority w:val="99"/>
    <w:semiHidden/>
    <w:rsid w:val="006F2A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User</cp:lastModifiedBy>
  <cp:revision>4</cp:revision>
  <dcterms:created xsi:type="dcterms:W3CDTF">2014-07-22T10:04:00Z</dcterms:created>
  <dcterms:modified xsi:type="dcterms:W3CDTF">2014-07-23T14:26:00Z</dcterms:modified>
</cp:coreProperties>
</file>