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E1" w:rsidRDefault="005B25E1" w:rsidP="005B25E1">
      <w:pPr>
        <w:rPr>
          <w:rFonts w:ascii="Calibri" w:hAnsi="Calibri" w:cs="Times New Roman"/>
          <w:color w:val="1F497D"/>
          <w:u w:val="single"/>
          <w:lang w:val="en-US" w:eastAsia="bg-BG"/>
        </w:rPr>
      </w:pPr>
    </w:p>
    <w:p w:rsidR="007C591E" w:rsidRPr="00155153" w:rsidRDefault="007C591E" w:rsidP="007C591E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Променени приоритети</w:t>
      </w:r>
    </w:p>
    <w:p w:rsidR="007C591E" w:rsidRPr="007C591E" w:rsidRDefault="007C591E" w:rsidP="007C591E">
      <w:pPr>
        <w:rPr>
          <w:rFonts w:ascii="Calibri" w:hAnsi="Calibri" w:cs="Times New Roman"/>
          <w:b/>
          <w:smallCaps/>
          <w:lang w:eastAsia="bg-BG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4020"/>
        <w:gridCol w:w="1340"/>
      </w:tblGrid>
      <w:tr w:rsidR="007C591E" w:rsidRPr="007C591E" w:rsidTr="007C591E">
        <w:trPr>
          <w:trHeight w:val="6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proofErr w:type="spellStart"/>
            <w:r w:rsidRPr="007C591E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Приротети</w:t>
            </w:r>
            <w:proofErr w:type="spellEnd"/>
            <w:r w:rsidRPr="007C591E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 xml:space="preserve"> съгласно общ подход за Регламент от 07.2013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 xml:space="preserve">Приоритети съгласно </w:t>
            </w:r>
            <w:proofErr w:type="spellStart"/>
            <w:r w:rsidRPr="007C591E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оконч</w:t>
            </w:r>
            <w:proofErr w:type="spellEnd"/>
            <w:r w:rsidRPr="007C591E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. Регламент  №508/2014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коментар</w:t>
            </w:r>
          </w:p>
        </w:tc>
      </w:tr>
      <w:tr w:rsidR="007C591E" w:rsidRPr="007C591E" w:rsidTr="007C591E">
        <w:trPr>
          <w:trHeight w:val="15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1.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 xml:space="preserve">Насърчаване на устойчиви, отличаващи се с ефективно използване на ресурсите </w:t>
            </w:r>
            <w:r w:rsidRPr="007C591E">
              <w:rPr>
                <w:rFonts w:ascii="Calibri" w:eastAsia="Times New Roman" w:hAnsi="Calibri" w:cstheme="minorHAnsi"/>
                <w:color w:val="FF0000"/>
                <w:sz w:val="23"/>
                <w:szCs w:val="23"/>
                <w:lang w:eastAsia="bg-BG"/>
              </w:rPr>
              <w:t>рибарство и аквакултури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, включително свързаното с тях преработване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1.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 xml:space="preserve">Насърчаване на устойчиво в екологично отношение, иновативно, конкурентоспособно и основано на знания </w:t>
            </w:r>
            <w:r w:rsidRPr="007C591E">
              <w:rPr>
                <w:rFonts w:ascii="Calibri" w:eastAsia="Times New Roman" w:hAnsi="Calibri" w:cstheme="minorHAnsi"/>
                <w:color w:val="FF0000"/>
                <w:sz w:val="23"/>
                <w:szCs w:val="23"/>
                <w:lang w:eastAsia="bg-BG"/>
              </w:rPr>
              <w:t>рибарство,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 xml:space="preserve"> характеризиращо се с ефективно използване на ресурсите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променен</w:t>
            </w:r>
          </w:p>
        </w:tc>
      </w:tr>
      <w:tr w:rsidR="007C591E" w:rsidRPr="007C591E" w:rsidTr="007C591E">
        <w:trPr>
          <w:trHeight w:val="18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2.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 xml:space="preserve">Стимулиране на иновативни, конкурентоспособни и основани на знания </w:t>
            </w:r>
            <w:r w:rsidRPr="007C591E">
              <w:rPr>
                <w:rFonts w:ascii="Calibri" w:eastAsia="Times New Roman" w:hAnsi="Calibri" w:cstheme="minorHAnsi"/>
                <w:color w:val="FF0000"/>
                <w:sz w:val="23"/>
                <w:szCs w:val="23"/>
                <w:lang w:eastAsia="bg-BG"/>
              </w:rPr>
              <w:t>рибарство и аквакултури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, включително свързаното с тях преработване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2.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 xml:space="preserve">Насърчаване на устойчиви в екологично отношение, иновативни, конкурентоспособни и основани на знания </w:t>
            </w:r>
            <w:r w:rsidRPr="007C591E">
              <w:rPr>
                <w:rFonts w:ascii="Calibri" w:eastAsia="Times New Roman" w:hAnsi="Calibri" w:cstheme="minorHAnsi"/>
                <w:color w:val="FF0000"/>
                <w:sz w:val="23"/>
                <w:szCs w:val="23"/>
                <w:lang w:eastAsia="bg-BG"/>
              </w:rPr>
              <w:t>аквакултури,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 xml:space="preserve"> характеризиращи се с ефективно използване на ресурсите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променен</w:t>
            </w:r>
          </w:p>
        </w:tc>
      </w:tr>
      <w:tr w:rsidR="007C591E" w:rsidRPr="007C591E" w:rsidTr="007C591E">
        <w:trPr>
          <w:trHeight w:val="9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3.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Стимулиране на прилагането на общата политика в областта на рибарството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3.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Насърчаване на изпълнението на ОПОР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непроменен</w:t>
            </w:r>
          </w:p>
        </w:tc>
      </w:tr>
      <w:tr w:rsidR="007C591E" w:rsidRPr="007C591E" w:rsidTr="007C591E">
        <w:trPr>
          <w:trHeight w:val="6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4.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Повишаване на заетостта и териториалното сближаване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4.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Повишаване на заетостта и териториалното сближаване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непроменен</w:t>
            </w:r>
          </w:p>
        </w:tc>
      </w:tr>
      <w:tr w:rsidR="007C591E" w:rsidRPr="007C591E" w:rsidTr="007C591E">
        <w:trPr>
          <w:trHeight w:val="6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5.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Укрепване на прилагането на интегрираната морска политика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FF000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FF0000"/>
                <w:sz w:val="23"/>
                <w:szCs w:val="23"/>
                <w:lang w:eastAsia="bg-BG"/>
              </w:rPr>
              <w:t>5.</w:t>
            </w:r>
            <w:r w:rsidRPr="007C591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FF0000"/>
                <w:sz w:val="23"/>
                <w:szCs w:val="23"/>
                <w:lang w:eastAsia="bg-BG"/>
              </w:rPr>
              <w:t>Насърчаване на предлагането на пазара и преработването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нов</w:t>
            </w:r>
          </w:p>
        </w:tc>
      </w:tr>
      <w:tr w:rsidR="007C591E" w:rsidRPr="007C591E" w:rsidTr="007C591E">
        <w:trPr>
          <w:trHeight w:val="6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rPr>
                <w:rFonts w:ascii="Calibri" w:eastAsia="Times New Roman" w:hAnsi="Calibri" w:cs="Times New Roman"/>
                <w:color w:val="0070C0"/>
                <w:sz w:val="23"/>
                <w:szCs w:val="23"/>
                <w:lang w:eastAsia="bg-BG"/>
              </w:rPr>
            </w:pP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6.</w:t>
            </w:r>
            <w:r w:rsidRPr="007C591E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bg-BG"/>
              </w:rPr>
              <w:t xml:space="preserve">    </w:t>
            </w:r>
            <w:r w:rsidRPr="007C591E">
              <w:rPr>
                <w:rFonts w:ascii="Calibri" w:eastAsia="Times New Roman" w:hAnsi="Calibri" w:cstheme="minorHAnsi"/>
                <w:color w:val="0070C0"/>
                <w:sz w:val="23"/>
                <w:szCs w:val="23"/>
                <w:lang w:eastAsia="bg-BG"/>
              </w:rPr>
              <w:t>Насърчаване на изпълнението на ИМП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1E" w:rsidRPr="007C591E" w:rsidRDefault="007C591E" w:rsidP="007C591E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7C591E">
              <w:rPr>
                <w:rFonts w:ascii="Calibri" w:eastAsia="Times New Roman" w:hAnsi="Calibri" w:cs="Times New Roman"/>
                <w:color w:val="0070C0"/>
                <w:lang w:eastAsia="bg-BG"/>
              </w:rPr>
              <w:t>непроменен</w:t>
            </w:r>
          </w:p>
        </w:tc>
      </w:tr>
    </w:tbl>
    <w:p w:rsidR="007C591E" w:rsidRDefault="007C591E" w:rsidP="005B25E1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056E6D" w:rsidRDefault="00056E6D" w:rsidP="005B25E1">
      <w:pPr>
        <w:rPr>
          <w:rFonts w:ascii="Calibri" w:hAnsi="Calibri" w:cs="Times New Roman"/>
          <w:color w:val="1F497D"/>
          <w:u w:val="single"/>
          <w:lang w:eastAsia="bg-BG"/>
        </w:rPr>
        <w:sectPr w:rsidR="00056E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6E6D" w:rsidRPr="00056E6D" w:rsidRDefault="00056E6D" w:rsidP="005B25E1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056E6D" w:rsidRPr="00155153" w:rsidRDefault="00056E6D" w:rsidP="00056E6D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Променени специфични цели</w:t>
      </w:r>
    </w:p>
    <w:p w:rsidR="007C591E" w:rsidRDefault="007C591E" w:rsidP="005B25E1">
      <w:pPr>
        <w:rPr>
          <w:rFonts w:ascii="Calibri" w:hAnsi="Calibri" w:cs="Times New Roman"/>
          <w:color w:val="1F497D"/>
          <w:u w:val="single"/>
          <w:lang w:val="en-US" w:eastAsia="bg-BG"/>
        </w:rPr>
      </w:pPr>
    </w:p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160"/>
        <w:gridCol w:w="2580"/>
        <w:gridCol w:w="3720"/>
      </w:tblGrid>
      <w:tr w:rsidR="00056E6D" w:rsidRPr="00056E6D" w:rsidTr="00056E6D">
        <w:trPr>
          <w:trHeight w:val="315"/>
        </w:trPr>
        <w:tc>
          <w:tcPr>
            <w:tcW w:w="7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  <w:t>променени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  <w:t>нови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  <w:t>отпаднали</w:t>
            </w:r>
          </w:p>
        </w:tc>
      </w:tr>
      <w:tr w:rsidR="00056E6D" w:rsidRPr="00056E6D" w:rsidTr="00056E6D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стар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нов вариант</w:t>
            </w: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bg-BG"/>
              </w:rPr>
            </w:pPr>
          </w:p>
        </w:tc>
      </w:tr>
      <w:tr w:rsidR="00056E6D" w:rsidRPr="00056E6D" w:rsidTr="00056E6D">
        <w:trPr>
          <w:trHeight w:val="18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Подобряване на свързаните с аквакултурите екосистеми и насърчаване на аквакултурите с ефективно използване на ресурсите;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Опазване и възстановяване на водното биологично разнообразие и подобряване на екосистемите, свързани с аквакултури, и насърчаване на аквакултури с ефективно използване на ресурсите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Осигуряване на равновесие между риболовния капацитет и наличните възможности за риболов;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Диверсификация на дейностите в рамките на сектора на рибарството, както и в други сектори на морската икономика</w:t>
            </w:r>
          </w:p>
        </w:tc>
      </w:tr>
      <w:tr w:rsidR="00056E6D" w:rsidRPr="00056E6D" w:rsidTr="00056E6D">
        <w:trPr>
          <w:trHeight w:val="2100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Повишаване на конкурентоспособността и жизнеспособността на предприятията в секторите на рибарството и аквакултурите, включително, в областта на рибарството — на дребномащабния крайбрежен флот и подобряване на безопасността и условията на труд, а в областта на аквакултурите — по-специално на малките и средни предприятия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Подобряване на конкурентоспособността и жизнеспособността на предприятията в сектора на рибарството, включително на дребномащабния крайбрежен флот, и подобряване на безопасността и условията на труд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Насърчаване на инвестициите в секторите на преработването и предлагането на пазара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 </w:t>
            </w:r>
          </w:p>
        </w:tc>
      </w:tr>
      <w:tr w:rsidR="00056E6D" w:rsidRPr="00056E6D" w:rsidTr="00056E6D">
        <w:trPr>
          <w:trHeight w:val="1815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Подобряване на конкурентоспособността и жизнеспособността на предприятията в сектора на аквакултурите, включително подобряване на безопасността и условията на труд, по-специално на МСП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E6D" w:rsidRPr="00056E6D" w:rsidRDefault="00056E6D" w:rsidP="00056E6D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056E6D">
              <w:rPr>
                <w:rFonts w:ascii="Calibri" w:eastAsia="Times New Roman" w:hAnsi="Calibri" w:cs="Times New Roman"/>
                <w:color w:val="0070C0"/>
                <w:lang w:eastAsia="bg-BG"/>
              </w:rPr>
              <w:t> </w:t>
            </w:r>
          </w:p>
        </w:tc>
      </w:tr>
    </w:tbl>
    <w:p w:rsidR="00056E6D" w:rsidRDefault="00056E6D" w:rsidP="005B25E1">
      <w:pPr>
        <w:rPr>
          <w:rFonts w:ascii="Calibri" w:hAnsi="Calibri" w:cs="Times New Roman"/>
          <w:color w:val="1F497D"/>
          <w:u w:val="single"/>
          <w:lang w:val="en-US" w:eastAsia="bg-BG"/>
        </w:rPr>
      </w:pPr>
    </w:p>
    <w:p w:rsidR="00056E6D" w:rsidRDefault="00056E6D" w:rsidP="005B25E1">
      <w:pPr>
        <w:rPr>
          <w:rFonts w:ascii="Calibri" w:hAnsi="Calibri" w:cs="Times New Roman"/>
          <w:color w:val="1F497D"/>
          <w:u w:val="single"/>
          <w:lang w:val="en-US" w:eastAsia="bg-BG"/>
        </w:rPr>
      </w:pPr>
    </w:p>
    <w:p w:rsidR="00056E6D" w:rsidRDefault="00056E6D" w:rsidP="005B25E1">
      <w:pPr>
        <w:rPr>
          <w:rFonts w:ascii="Calibri" w:hAnsi="Calibri" w:cs="Times New Roman"/>
          <w:color w:val="1F497D"/>
          <w:u w:val="single"/>
          <w:lang w:val="en-US" w:eastAsia="bg-BG"/>
        </w:rPr>
        <w:sectPr w:rsidR="00056E6D" w:rsidSect="00056E6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591E" w:rsidRDefault="007C591E" w:rsidP="005B25E1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B45A29" w:rsidRPr="00155153" w:rsidRDefault="00B45A29" w:rsidP="00B45A29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Нова логика на </w:t>
      </w:r>
      <w:r w:rsidR="006D62A5"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интервенция</w:t>
      </w:r>
      <w:r w:rsidR="0057308F"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 – </w:t>
      </w:r>
      <w:r w:rsidR="00CD002A" w:rsidRPr="00CD002A">
        <w:rPr>
          <w:rFonts w:ascii="Calibri" w:hAnsi="Calibri" w:cs="Times New Roman"/>
          <w:b/>
          <w:smallCaps/>
          <w:color w:val="FF0000"/>
          <w:sz w:val="28"/>
          <w:szCs w:val="28"/>
          <w:lang w:eastAsia="bg-BG"/>
        </w:rPr>
        <w:t>чака се</w:t>
      </w:r>
      <w:r w:rsidR="0057308F" w:rsidRPr="00CD002A">
        <w:rPr>
          <w:rFonts w:ascii="Calibri" w:hAnsi="Calibri" w:cs="Times New Roman"/>
          <w:b/>
          <w:smallCaps/>
          <w:color w:val="FF0000"/>
          <w:sz w:val="28"/>
          <w:szCs w:val="28"/>
          <w:lang w:eastAsia="bg-BG"/>
        </w:rPr>
        <w:t xml:space="preserve"> в окончателен вариант след регламент</w:t>
      </w:r>
    </w:p>
    <w:p w:rsidR="006D62A5" w:rsidRDefault="006D62A5" w:rsidP="006D62A5">
      <w:pPr>
        <w:rPr>
          <w:rFonts w:ascii="Calibri" w:hAnsi="Calibri" w:cs="Times New Roman"/>
          <w:b/>
          <w:smallCaps/>
          <w:lang w:eastAsia="bg-BG"/>
        </w:rPr>
      </w:pPr>
    </w:p>
    <w:p w:rsidR="006D62A5" w:rsidRPr="006D62A5" w:rsidRDefault="006D62A5" w:rsidP="006D62A5">
      <w:pPr>
        <w:rPr>
          <w:rFonts w:ascii="Calibri" w:hAnsi="Calibri" w:cs="Times New Roman"/>
          <w:b/>
          <w:smallCaps/>
          <w:lang w:eastAsia="bg-BG"/>
        </w:rPr>
      </w:pPr>
    </w:p>
    <w:p w:rsidR="00B45A29" w:rsidRPr="00155153" w:rsidRDefault="00B45A29" w:rsidP="00B45A29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Променено съдържание на програмата </w:t>
      </w:r>
      <w:r w:rsidR="00CD002A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- </w:t>
      </w:r>
      <w:r w:rsidR="00CD002A" w:rsidRPr="00CD002A">
        <w:rPr>
          <w:rFonts w:ascii="Calibri" w:hAnsi="Calibri" w:cs="Times New Roman"/>
          <w:b/>
          <w:smallCaps/>
          <w:color w:val="FF0000"/>
          <w:sz w:val="28"/>
          <w:szCs w:val="28"/>
          <w:lang w:eastAsia="bg-BG"/>
        </w:rPr>
        <w:t>чака се в окончателен вариант след регламент</w:t>
      </w:r>
    </w:p>
    <w:p w:rsidR="00B45A29" w:rsidRDefault="00B45A29" w:rsidP="005B25E1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B45A29" w:rsidRPr="00B45A29" w:rsidRDefault="00B45A29" w:rsidP="005B25E1">
      <w:pPr>
        <w:rPr>
          <w:rFonts w:ascii="Calibri" w:hAnsi="Calibri" w:cs="Times New Roman"/>
          <w:color w:val="1F497D"/>
          <w:u w:val="single"/>
          <w:lang w:eastAsia="bg-BG"/>
        </w:rPr>
      </w:pPr>
      <w:r>
        <w:rPr>
          <w:rFonts w:ascii="Calibri" w:hAnsi="Calibri" w:cs="Times New Roman"/>
          <w:color w:val="1F497D"/>
          <w:u w:val="single"/>
          <w:lang w:eastAsia="bg-BG"/>
        </w:rPr>
        <w:t>Промени:</w:t>
      </w:r>
    </w:p>
    <w:p w:rsidR="005B25E1" w:rsidRPr="00055014" w:rsidRDefault="005B25E1" w:rsidP="0057308F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val="en-US" w:eastAsia="bg-BG"/>
        </w:rPr>
        <w:t>SWOT</w:t>
      </w:r>
      <w:r w:rsidRPr="00055014">
        <w:rPr>
          <w:rFonts w:ascii="Calibri" w:hAnsi="Calibri" w:cs="Times New Roman"/>
          <w:color w:val="0070C0"/>
          <w:lang w:eastAsia="bg-BG"/>
        </w:rPr>
        <w:t xml:space="preserve">а трябва да е разработен по приоритети, а не по глави то регламента </w:t>
      </w:r>
    </w:p>
    <w:p w:rsidR="0057308F" w:rsidRPr="00055014" w:rsidRDefault="0057308F" w:rsidP="0057308F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 xml:space="preserve">Има образец на програма </w:t>
      </w:r>
      <w:r w:rsidRPr="00055014">
        <w:rPr>
          <w:rFonts w:ascii="Calibri" w:hAnsi="Calibri" w:cs="Times New Roman"/>
          <w:color w:val="0070C0"/>
          <w:lang w:val="en-US" w:eastAsia="bg-BG"/>
        </w:rPr>
        <w:t>(</w:t>
      </w:r>
      <w:r w:rsidRPr="00055014">
        <w:rPr>
          <w:rFonts w:ascii="Calibri" w:hAnsi="Calibri" w:cs="Times New Roman"/>
          <w:color w:val="0070C0"/>
          <w:lang w:eastAsia="bg-BG"/>
        </w:rPr>
        <w:t>само на английски</w:t>
      </w:r>
      <w:r w:rsidRPr="00055014">
        <w:rPr>
          <w:rFonts w:ascii="Calibri" w:hAnsi="Calibri" w:cs="Times New Roman"/>
          <w:color w:val="0070C0"/>
          <w:lang w:val="en-US" w:eastAsia="bg-BG"/>
        </w:rPr>
        <w:t>)</w:t>
      </w:r>
      <w:r w:rsidRPr="00055014">
        <w:rPr>
          <w:rFonts w:ascii="Calibri" w:hAnsi="Calibri" w:cs="Times New Roman"/>
          <w:color w:val="0070C0"/>
          <w:lang w:eastAsia="bg-BG"/>
        </w:rPr>
        <w:t xml:space="preserve"> към 07.03.2014 година, която е с определен брой символи, но липсва в окончателен вариант след приет регламент</w:t>
      </w:r>
    </w:p>
    <w:p w:rsidR="00B45A29" w:rsidRPr="00055014" w:rsidRDefault="00B45A29" w:rsidP="0057308F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Не можем да обединяваме отделни членове от регламента в една мярка. Последица: много на брой мерки</w:t>
      </w:r>
    </w:p>
    <w:p w:rsidR="00B45A29" w:rsidRPr="00055014" w:rsidRDefault="00B45A29" w:rsidP="0057308F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Няма да се описват детайлно предвижданите мерки</w:t>
      </w:r>
    </w:p>
    <w:p w:rsidR="00DD1CB9" w:rsidRPr="00055014" w:rsidRDefault="00DD1CB9" w:rsidP="0057308F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Не можем да променяме имената на мерките – те съответстват на членовете от регламента и ще бъдат избирани от предварително зададен списък</w:t>
      </w:r>
    </w:p>
    <w:p w:rsidR="00B45A29" w:rsidRPr="00055014" w:rsidRDefault="0057308F" w:rsidP="0057308F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Променени са част от н</w:t>
      </w:r>
      <w:r w:rsidR="00B45A29" w:rsidRPr="00055014">
        <w:rPr>
          <w:rFonts w:ascii="Calibri" w:hAnsi="Calibri" w:cs="Times New Roman"/>
          <w:color w:val="0070C0"/>
          <w:lang w:eastAsia="bg-BG"/>
        </w:rPr>
        <w:t>асоки</w:t>
      </w:r>
      <w:r w:rsidRPr="00055014">
        <w:rPr>
          <w:rFonts w:ascii="Calibri" w:hAnsi="Calibri" w:cs="Times New Roman"/>
          <w:color w:val="0070C0"/>
          <w:lang w:eastAsia="bg-BG"/>
        </w:rPr>
        <w:t>те</w:t>
      </w:r>
      <w:r w:rsidR="00B45A29" w:rsidRPr="00055014">
        <w:rPr>
          <w:rFonts w:ascii="Calibri" w:hAnsi="Calibri" w:cs="Times New Roman"/>
          <w:color w:val="0070C0"/>
          <w:lang w:eastAsia="bg-BG"/>
        </w:rPr>
        <w:t xml:space="preserve"> за попълване на отделните секции на програмата</w:t>
      </w:r>
    </w:p>
    <w:p w:rsidR="00B45A29" w:rsidRPr="00055014" w:rsidRDefault="00B45A29" w:rsidP="0057308F">
      <w:pPr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 xml:space="preserve">Променена таблица с бюджета </w:t>
      </w:r>
      <w:r w:rsidR="00155153" w:rsidRPr="00055014">
        <w:rPr>
          <w:rFonts w:ascii="Calibri" w:hAnsi="Calibri" w:cs="Times New Roman"/>
          <w:color w:val="0070C0"/>
          <w:lang w:eastAsia="bg-BG"/>
        </w:rPr>
        <w:t>на програмата</w:t>
      </w:r>
      <w:r w:rsidRPr="00055014">
        <w:rPr>
          <w:rFonts w:ascii="Calibri" w:hAnsi="Calibri" w:cs="Times New Roman"/>
          <w:color w:val="0070C0"/>
          <w:lang w:eastAsia="bg-BG"/>
        </w:rPr>
        <w:t xml:space="preserve"> </w:t>
      </w:r>
      <w:r w:rsidR="00056AE3" w:rsidRPr="00055014">
        <w:rPr>
          <w:rFonts w:ascii="Calibri" w:hAnsi="Calibri" w:cs="Times New Roman"/>
          <w:color w:val="0070C0"/>
          <w:lang w:eastAsia="bg-BG"/>
        </w:rPr>
        <w:t>по приоритети, като са допълнени колони</w:t>
      </w:r>
      <w:r w:rsidR="00155153" w:rsidRPr="00055014">
        <w:rPr>
          <w:rFonts w:ascii="Calibri" w:hAnsi="Calibri" w:cs="Times New Roman"/>
          <w:color w:val="0070C0"/>
          <w:lang w:eastAsia="bg-BG"/>
        </w:rPr>
        <w:t xml:space="preserve"> </w:t>
      </w:r>
    </w:p>
    <w:p w:rsidR="0057308F" w:rsidRPr="00055014" w:rsidRDefault="0057308F" w:rsidP="0057308F">
      <w:pPr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Голяма част от съществуващите раздели са променени, като са добавени нови колони в таблиците, изисква се още информация и т.н.</w:t>
      </w:r>
    </w:p>
    <w:p w:rsidR="00CE4DF6" w:rsidRPr="00055014" w:rsidRDefault="00CE4DF6" w:rsidP="0057308F">
      <w:pPr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Променен</w:t>
      </w:r>
      <w:r w:rsidR="003E2265" w:rsidRPr="00055014">
        <w:rPr>
          <w:rFonts w:ascii="Calibri" w:hAnsi="Calibri" w:cs="Times New Roman"/>
          <w:color w:val="0070C0"/>
          <w:lang w:eastAsia="bg-BG"/>
        </w:rPr>
        <w:t>и са</w:t>
      </w:r>
      <w:r w:rsidRPr="00055014">
        <w:rPr>
          <w:rFonts w:ascii="Calibri" w:hAnsi="Calibri" w:cs="Times New Roman"/>
          <w:color w:val="0070C0"/>
          <w:lang w:eastAsia="bg-BG"/>
        </w:rPr>
        <w:t xml:space="preserve"> </w:t>
      </w:r>
      <w:r w:rsidR="003E2265" w:rsidRPr="00055014">
        <w:rPr>
          <w:rFonts w:ascii="Calibri" w:hAnsi="Calibri" w:cs="Times New Roman"/>
          <w:color w:val="0070C0"/>
          <w:lang w:eastAsia="bg-BG"/>
        </w:rPr>
        <w:t>целевите години, в които ще се отчита постигането на резултатите – вместо 2017 е определена 2018 и вместо 2022 е определена 2023 г.</w:t>
      </w:r>
    </w:p>
    <w:p w:rsidR="00B45A29" w:rsidRDefault="00B45A29" w:rsidP="005B25E1">
      <w:pPr>
        <w:rPr>
          <w:rFonts w:ascii="Calibri" w:hAnsi="Calibri" w:cs="Times New Roman"/>
          <w:lang w:eastAsia="bg-BG"/>
        </w:rPr>
      </w:pPr>
    </w:p>
    <w:p w:rsidR="00B45A29" w:rsidRDefault="00B45A29" w:rsidP="00B45A29">
      <w:pPr>
        <w:rPr>
          <w:rFonts w:ascii="Calibri" w:hAnsi="Calibri" w:cs="Times New Roman"/>
          <w:color w:val="1F497D"/>
          <w:u w:val="single"/>
          <w:lang w:eastAsia="bg-BG"/>
        </w:rPr>
      </w:pPr>
      <w:r>
        <w:rPr>
          <w:rFonts w:ascii="Calibri" w:hAnsi="Calibri" w:cs="Times New Roman"/>
          <w:color w:val="1F497D"/>
          <w:u w:val="single"/>
          <w:lang w:eastAsia="bg-BG"/>
        </w:rPr>
        <w:t>Допълнения:</w:t>
      </w:r>
    </w:p>
    <w:p w:rsidR="00B45A29" w:rsidRPr="00055014" w:rsidRDefault="0057308F" w:rsidP="00090C85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 xml:space="preserve">Допълнение в SWOT анализа </w:t>
      </w:r>
    </w:p>
    <w:p w:rsidR="005B25E1" w:rsidRPr="00055014" w:rsidRDefault="00090C85" w:rsidP="00090C85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Нова таблица с финансовия принос към на всяка мярка и приоритет към тематичните цели от споразумението за партньорство</w:t>
      </w:r>
    </w:p>
    <w:p w:rsidR="007C591E" w:rsidRPr="00055014" w:rsidRDefault="00090C85" w:rsidP="00090C85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Описание на п</w:t>
      </w:r>
      <w:r w:rsidR="00816DDC" w:rsidRPr="00055014">
        <w:rPr>
          <w:rFonts w:ascii="Calibri" w:hAnsi="Calibri" w:cs="Times New Roman"/>
          <w:color w:val="0070C0"/>
          <w:lang w:eastAsia="bg-BG"/>
        </w:rPr>
        <w:t>лан за действие за развитието, конкурентоспособността и устойчивостта на дребномащабния крайбрежен риболов</w:t>
      </w:r>
      <w:r w:rsidRPr="00055014">
        <w:rPr>
          <w:rFonts w:ascii="Calibri" w:hAnsi="Calibri" w:cs="Times New Roman"/>
          <w:color w:val="0070C0"/>
          <w:lang w:eastAsia="bg-BG"/>
        </w:rPr>
        <w:t xml:space="preserve"> (за флот, при който над 1000 кораба могат да бъдат причислени към дребномащабен риболов)</w:t>
      </w:r>
    </w:p>
    <w:p w:rsidR="0057308F" w:rsidRPr="00055014" w:rsidRDefault="00090C85" w:rsidP="00090C85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 xml:space="preserve">Редица </w:t>
      </w:r>
      <w:r w:rsidR="0057308F" w:rsidRPr="00055014">
        <w:rPr>
          <w:rFonts w:ascii="Calibri" w:hAnsi="Calibri" w:cs="Times New Roman"/>
          <w:color w:val="0070C0"/>
          <w:lang w:eastAsia="bg-BG"/>
        </w:rPr>
        <w:t xml:space="preserve">допълнителни обосновки – за </w:t>
      </w:r>
      <w:r w:rsidR="003E2265" w:rsidRPr="00055014">
        <w:rPr>
          <w:rFonts w:ascii="Calibri" w:hAnsi="Calibri" w:cs="Times New Roman"/>
          <w:color w:val="0070C0"/>
          <w:lang w:eastAsia="bg-BG"/>
        </w:rPr>
        <w:t xml:space="preserve">стойностите на </w:t>
      </w:r>
      <w:r w:rsidR="0057308F" w:rsidRPr="00055014">
        <w:rPr>
          <w:rFonts w:ascii="Calibri" w:hAnsi="Calibri" w:cs="Times New Roman"/>
          <w:color w:val="0070C0"/>
          <w:lang w:eastAsia="bg-BG"/>
        </w:rPr>
        <w:t>индикатори</w:t>
      </w:r>
      <w:r w:rsidR="003E2265" w:rsidRPr="00055014">
        <w:rPr>
          <w:rFonts w:ascii="Calibri" w:hAnsi="Calibri" w:cs="Times New Roman"/>
          <w:color w:val="0070C0"/>
          <w:lang w:eastAsia="bg-BG"/>
        </w:rPr>
        <w:t>те</w:t>
      </w:r>
      <w:r w:rsidRPr="00055014">
        <w:rPr>
          <w:rFonts w:ascii="Calibri" w:hAnsi="Calibri" w:cs="Times New Roman"/>
          <w:color w:val="0070C0"/>
          <w:lang w:eastAsia="bg-BG"/>
        </w:rPr>
        <w:t>, за специфични нужди в областите по НАТУРА и др.</w:t>
      </w:r>
    </w:p>
    <w:p w:rsidR="007E1CF9" w:rsidRDefault="007E1CF9" w:rsidP="00816DDC">
      <w:pPr>
        <w:rPr>
          <w:rFonts w:ascii="Calibri" w:hAnsi="Calibri" w:cs="Times New Roman"/>
          <w:u w:val="single"/>
          <w:lang w:eastAsia="bg-BG"/>
        </w:rPr>
        <w:sectPr w:rsidR="007E1CF9" w:rsidSect="00056E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08F" w:rsidRPr="003E2265" w:rsidRDefault="0057308F" w:rsidP="00816DDC">
      <w:pPr>
        <w:rPr>
          <w:rFonts w:ascii="Calibri" w:hAnsi="Calibri" w:cs="Times New Roman"/>
          <w:u w:val="single"/>
          <w:lang w:eastAsia="bg-BG"/>
        </w:rPr>
      </w:pPr>
    </w:p>
    <w:p w:rsidR="0057308F" w:rsidRPr="00155153" w:rsidRDefault="0057308F" w:rsidP="00090C85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Променени </w:t>
      </w:r>
      <w:r w:rsidR="000C13EB">
        <w:rPr>
          <w:rFonts w:ascii="Calibri" w:hAnsi="Calibri" w:cs="Times New Roman"/>
          <w:b/>
          <w:smallCaps/>
          <w:sz w:val="28"/>
          <w:szCs w:val="28"/>
          <w:lang w:eastAsia="bg-BG"/>
        </w:rPr>
        <w:t>членове/</w:t>
      </w: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мерки </w:t>
      </w:r>
    </w:p>
    <w:p w:rsidR="00B45A29" w:rsidRDefault="00B45A29" w:rsidP="007C591E">
      <w:pPr>
        <w:rPr>
          <w:rFonts w:ascii="Calibri" w:hAnsi="Calibri" w:cs="Times New Roman"/>
          <w:color w:val="1F497D"/>
          <w:u w:val="single"/>
          <w:lang w:eastAsia="bg-BG"/>
        </w:rPr>
      </w:pPr>
    </w:p>
    <w:tbl>
      <w:tblPr>
        <w:tblStyle w:val="TableGrid"/>
        <w:tblW w:w="5431" w:type="pct"/>
        <w:tblInd w:w="-601" w:type="dxa"/>
        <w:tblLook w:val="04A0" w:firstRow="1" w:lastRow="0" w:firstColumn="1" w:lastColumn="0" w:noHBand="0" w:noVBand="1"/>
      </w:tblPr>
      <w:tblGrid>
        <w:gridCol w:w="4819"/>
        <w:gridCol w:w="6379"/>
        <w:gridCol w:w="4248"/>
      </w:tblGrid>
      <w:tr w:rsidR="00D93636" w:rsidRPr="00D93636" w:rsidTr="008B0053">
        <w:trPr>
          <w:trHeight w:val="510"/>
          <w:tblHeader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6C8" w:rsidRPr="00D93636" w:rsidRDefault="004526C8" w:rsidP="00D93636">
            <w:pPr>
              <w:spacing w:before="60" w:after="60"/>
              <w:jc w:val="center"/>
              <w:rPr>
                <w:rFonts w:eastAsia="Times New Roman" w:cs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Работен вариант на ПМДР съгласно Общ подход на Съвета по предложението за Регламент относно ЕФМДР, 15 юли 2013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6C8" w:rsidRPr="008B0053" w:rsidRDefault="004526C8" w:rsidP="00D93636">
            <w:pPr>
              <w:spacing w:before="60" w:after="60"/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D93636">
              <w:rPr>
                <w:b/>
                <w:color w:val="0070C0"/>
                <w:lang w:val="bg-BG"/>
              </w:rPr>
              <w:t>Промяна в разпоредбите съгласно Ре</w:t>
            </w:r>
            <w:r w:rsidR="00777B6C">
              <w:rPr>
                <w:b/>
                <w:color w:val="0070C0"/>
                <w:lang w:val="bg-BG"/>
              </w:rPr>
              <w:t>гламент 508/2014 относно ЕФМДР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6C8" w:rsidRPr="00D93636" w:rsidRDefault="004526C8" w:rsidP="00D93636">
            <w:pPr>
              <w:spacing w:before="60" w:after="60"/>
              <w:jc w:val="center"/>
              <w:rPr>
                <w:rFonts w:eastAsia="Times New Roman" w:cs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Промяна</w:t>
            </w:r>
          </w:p>
        </w:tc>
      </w:tr>
      <w:tr w:rsidR="00D93636" w:rsidRPr="00D93636" w:rsidTr="00777B6C">
        <w:trPr>
          <w:trHeight w:val="454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6C8" w:rsidRPr="00D93636" w:rsidRDefault="004526C8" w:rsidP="00D93636">
            <w:pPr>
              <w:tabs>
                <w:tab w:val="left" w:pos="3210"/>
                <w:tab w:val="center" w:pos="4680"/>
              </w:tabs>
              <w:spacing w:before="60" w:after="60"/>
              <w:jc w:val="both"/>
              <w:rPr>
                <w:rFonts w:eastAsia="Times New Roman" w:cs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Глава I Устойчиво развитие на рибарството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6C8" w:rsidRPr="00D93636" w:rsidRDefault="004526C8" w:rsidP="00D93636">
            <w:pPr>
              <w:tabs>
                <w:tab w:val="left" w:pos="3210"/>
                <w:tab w:val="center" w:pos="4680"/>
              </w:tabs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6C8" w:rsidRPr="00D93636" w:rsidRDefault="004526C8" w:rsidP="00D93636">
            <w:pPr>
              <w:tabs>
                <w:tab w:val="left" w:pos="3210"/>
                <w:tab w:val="center" w:pos="4680"/>
              </w:tabs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  <w:tr w:rsidR="007E1CF9" w:rsidRPr="00D93636" w:rsidTr="007E1CF9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Мярка „Нови форми на доход, диверсификация и създаване на работни места“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Чл.32 Улесняване на диверсификацията и създаване на работни места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Подпомагане на новосъздадени предприятия извън търговския риболов; модернизация на дребномащабни крайбрежни риболовни кораби, за да бъдат пренасочени към дейности извън търговския риболов; дейности по преквалификация, изисквани във връзка с новосъздадените предприятия.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Чл.32а Нови форми на доход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Подпомагане на инвестиции на борда на корабите, с които да се допринася за диверсификация на доходите на рибарите чрез развиване на допълнителни дейности извън сектора на рибарството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i/>
                <w:iCs/>
                <w:color w:val="0070C0"/>
                <w:lang w:val="bg-BG"/>
              </w:rPr>
              <w:t xml:space="preserve">Член 30 </w:t>
            </w:r>
          </w:p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b/>
                <w:bCs/>
                <w:color w:val="0070C0"/>
                <w:lang w:val="bg-BG"/>
              </w:rPr>
              <w:t xml:space="preserve">Диверсификация и нови форми на доход </w:t>
            </w:r>
          </w:p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1. ЕФМДР може да подпомага инвестиции, допринасящи за </w:t>
            </w:r>
            <w:proofErr w:type="spellStart"/>
            <w:r w:rsidRPr="00D93636">
              <w:rPr>
                <w:rFonts w:cs="EUAlbertina"/>
                <w:color w:val="0070C0"/>
                <w:lang w:val="bg-BG"/>
              </w:rPr>
              <w:t>диверсифицирането</w:t>
            </w:r>
            <w:proofErr w:type="spellEnd"/>
            <w:r w:rsidRPr="00D93636">
              <w:rPr>
                <w:rFonts w:cs="EUAlbertina"/>
                <w:color w:val="0070C0"/>
                <w:lang w:val="bg-BG"/>
              </w:rPr>
              <w:t xml:space="preserve"> на доходите на рибарите чрез развиването на допълващи дейности, включително инвестиции на борда на корабите, риболовен туризъм, ресторанти, екологични услуги, свързани с рибарството и образователни дейности в областта на рибарството. </w:t>
            </w:r>
          </w:p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2. Подпомагането по параграф 1 се предоставя на рибари, които: </w:t>
            </w:r>
          </w:p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а) представят бизнес план за развитието на новите си дейности; и </w:t>
            </w:r>
          </w:p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б) притежават подходящи професионални умения, </w:t>
            </w:r>
          </w:p>
          <w:p w:rsidR="004526C8" w:rsidRPr="00D93636" w:rsidRDefault="004526C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3. Подпомагането по параграф 1 се предоставя само при условие че допълващите дейности са свързани с основната риболовна дейност на съответния рибар.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4. Размерът на подпомагането, предоставено съгласно параграф 1, не може да надвишава 50 % от предвидения бюджет в бизнес плана за всяка операция и не може да надвишава максимална сума от 75 000 EUR за всеки </w:t>
            </w:r>
            <w:proofErr w:type="spellStart"/>
            <w:r w:rsidRPr="00D93636">
              <w:rPr>
                <w:rFonts w:cs="EUAlbertina"/>
                <w:color w:val="0070C0"/>
                <w:lang w:val="bg-BG"/>
              </w:rPr>
              <w:t>бенефициер</w:t>
            </w:r>
            <w:proofErr w:type="spellEnd"/>
            <w:r w:rsidRPr="00D93636">
              <w:rPr>
                <w:rFonts w:cs="EUAlbertina"/>
                <w:color w:val="0070C0"/>
                <w:lang w:val="bg-BG"/>
              </w:rPr>
              <w:t>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Pr="00D93636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1. </w:t>
            </w:r>
            <w:r w:rsidRPr="00C9643B">
              <w:rPr>
                <w:b/>
                <w:color w:val="0070C0"/>
                <w:u w:val="single"/>
                <w:lang w:val="bg-BG"/>
              </w:rPr>
              <w:t>Обединението на двата члена</w:t>
            </w:r>
            <w:r w:rsidRPr="00D93636">
              <w:rPr>
                <w:color w:val="0070C0"/>
                <w:lang w:val="bg-BG"/>
              </w:rPr>
              <w:t xml:space="preserve">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2. Променен обхвата на подкрепа на мярката</w:t>
            </w:r>
            <w:r w:rsidR="007E1CF9" w:rsidRPr="00D93636">
              <w:rPr>
                <w:color w:val="0070C0"/>
                <w:lang w:val="bg-BG"/>
              </w:rPr>
              <w:t xml:space="preserve"> - </w:t>
            </w:r>
            <w:r w:rsidRPr="00D93636">
              <w:rPr>
                <w:color w:val="0070C0"/>
                <w:lang w:val="bg-BG"/>
              </w:rPr>
              <w:t xml:space="preserve">развитие на дейности </w:t>
            </w:r>
            <w:r w:rsidR="007E1CF9" w:rsidRPr="00D93636">
              <w:rPr>
                <w:color w:val="0070C0"/>
                <w:lang w:val="bg-BG"/>
              </w:rPr>
              <w:t xml:space="preserve">в допълнение към </w:t>
            </w:r>
            <w:r w:rsidRPr="00D93636">
              <w:rPr>
                <w:b/>
                <w:color w:val="0070C0"/>
                <w:u w:val="single"/>
                <w:lang w:val="bg-BG"/>
              </w:rPr>
              <w:t>търговския риболов</w:t>
            </w:r>
            <w:r w:rsidRPr="00D93636">
              <w:rPr>
                <w:color w:val="0070C0"/>
                <w:lang w:val="bg-BG"/>
              </w:rPr>
              <w:t xml:space="preserve">.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3. </w:t>
            </w:r>
            <w:r w:rsidRPr="006A4BE4">
              <w:rPr>
                <w:color w:val="FF0000"/>
                <w:lang w:val="bg-BG"/>
              </w:rPr>
              <w:t xml:space="preserve">Премахнато е ограничението </w:t>
            </w:r>
            <w:r w:rsidRPr="00D93636">
              <w:rPr>
                <w:color w:val="0070C0"/>
                <w:lang w:val="bg-BG"/>
              </w:rPr>
              <w:t xml:space="preserve">за предоставяне на помощ по този член само за рибари, упражняващи </w:t>
            </w:r>
            <w:r w:rsidRPr="00D93636">
              <w:rPr>
                <w:b/>
                <w:color w:val="0070C0"/>
                <w:u w:val="single"/>
                <w:lang w:val="bg-BG"/>
              </w:rPr>
              <w:t>дребномащабен крайбрежен риболов</w:t>
            </w:r>
            <w:r w:rsidRPr="00D93636">
              <w:rPr>
                <w:color w:val="0070C0"/>
                <w:lang w:val="bg-BG"/>
              </w:rPr>
              <w:t xml:space="preserve">, и извършващи риболовна дейност за поне </w:t>
            </w:r>
            <w:r w:rsidRPr="00D93636">
              <w:rPr>
                <w:b/>
                <w:color w:val="0070C0"/>
                <w:u w:val="single"/>
                <w:lang w:val="bg-BG"/>
              </w:rPr>
              <w:t>60 на море</w:t>
            </w:r>
            <w:r w:rsidRPr="00D93636">
              <w:rPr>
                <w:color w:val="0070C0"/>
                <w:lang w:val="bg-BG"/>
              </w:rPr>
              <w:t xml:space="preserve"> през последните 2 календарни години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4. </w:t>
            </w:r>
            <w:r w:rsidRPr="006A4BE4">
              <w:rPr>
                <w:color w:val="FF0000"/>
                <w:lang w:val="bg-BG"/>
              </w:rPr>
              <w:t xml:space="preserve">Намален е размерът </w:t>
            </w:r>
            <w:r w:rsidRPr="00D93636">
              <w:rPr>
                <w:color w:val="0070C0"/>
                <w:lang w:val="bg-BG"/>
              </w:rPr>
              <w:t>на максимално допустимата финансова помощ –</w:t>
            </w:r>
            <w:r w:rsidRPr="00D93636">
              <w:rPr>
                <w:b/>
                <w:color w:val="0070C0"/>
                <w:u w:val="single"/>
                <w:lang w:val="bg-BG"/>
              </w:rPr>
              <w:t>от 100 000 евро на 75 000 евро</w:t>
            </w:r>
          </w:p>
          <w:p w:rsidR="004526C8" w:rsidRPr="00D93636" w:rsidRDefault="004526C8" w:rsidP="00D93636">
            <w:pPr>
              <w:spacing w:before="60" w:after="60"/>
              <w:rPr>
                <w:color w:val="0070C0"/>
                <w:lang w:val="bg-BG"/>
              </w:rPr>
            </w:pP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  <w:tr w:rsidR="00695D9F" w:rsidRPr="00D93636" w:rsidTr="007E1CF9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F" w:rsidRPr="00D93636" w:rsidRDefault="00695D9F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 xml:space="preserve">Чл.37 Ограничаване на въздействието на риболова върху морската среда и приспособяване на риболова към опазването </w:t>
            </w:r>
            <w:r w:rsidRPr="00D93636">
              <w:rPr>
                <w:b/>
                <w:color w:val="0070C0"/>
                <w:lang w:val="bg-BG"/>
              </w:rPr>
              <w:lastRenderedPageBreak/>
              <w:t>на видовете</w:t>
            </w:r>
          </w:p>
          <w:p w:rsidR="00695D9F" w:rsidRPr="00D93636" w:rsidRDefault="00695D9F" w:rsidP="00C9643B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Подпомагане на инвестиции в оборудване за подобряване на избирателността на риболовните уреди от гледна точка на размер или видове; в оборудване за ограничаване на физическото и биологичното въздействие на риболова върху съответната екосистема или морското дъно; в оборудване за намаляване на нежелания улов на запаси с търговско значение или друг </w:t>
            </w:r>
            <w:proofErr w:type="spellStart"/>
            <w:r w:rsidRPr="00D93636">
              <w:rPr>
                <w:color w:val="0070C0"/>
                <w:lang w:val="bg-BG"/>
              </w:rPr>
              <w:t>прилов</w:t>
            </w:r>
            <w:proofErr w:type="spellEnd"/>
            <w:r w:rsidRPr="00D93636">
              <w:rPr>
                <w:color w:val="0070C0"/>
                <w:lang w:val="bg-BG"/>
              </w:rPr>
              <w:t>; на борда на кораба или в оборудване, свързано с нежелания улов, който трябва да бъде разтоварен на сушата; за защита на риболовните уреди и улова от бозайници и птици, при условие че това не нарушава избирателността на риболовните уреди и че са въведени всички целесъобразни мерки, за да се предотврати нараняването на хищници.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i/>
                <w:iCs/>
                <w:color w:val="0070C0"/>
                <w:lang w:val="bg-BG"/>
              </w:rPr>
              <w:lastRenderedPageBreak/>
              <w:t xml:space="preserve">Член 38 </w:t>
            </w:r>
          </w:p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b/>
                <w:bCs/>
                <w:color w:val="0070C0"/>
                <w:lang w:val="bg-BG"/>
              </w:rPr>
              <w:t xml:space="preserve">Ограничаване на въздействието на риболова върху морската среда и приспособяване на риболова към опазването на </w:t>
            </w:r>
            <w:r w:rsidRPr="00D93636">
              <w:rPr>
                <w:rFonts w:cs="EUAlbertina"/>
                <w:b/>
                <w:bCs/>
                <w:color w:val="0070C0"/>
                <w:lang w:val="bg-BG"/>
              </w:rPr>
              <w:lastRenderedPageBreak/>
              <w:t xml:space="preserve">видовете </w:t>
            </w:r>
          </w:p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ЕФМДР може да подпомага инвестиции: </w:t>
            </w:r>
          </w:p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а) в оборудване за подобряване на избирателността на риболовните уреди от гледна точка на размер или видове; </w:t>
            </w:r>
          </w:p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б) на борда на кораба или в оборудване, което осигурява прекратяването на изхвърлянето чрез избягване и намаляване на нежелания улов на запаси с търговско значение или което е свързано с нежелания улов, който трябва да бъде разтоварен на сушата; </w:t>
            </w:r>
          </w:p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в) </w:t>
            </w:r>
            <w:proofErr w:type="spellStart"/>
            <w:r w:rsidRPr="00D93636">
              <w:rPr>
                <w:rFonts w:cs="EUAlbertina"/>
                <w:color w:val="0070C0"/>
                <w:lang w:val="bg-BG"/>
              </w:rPr>
              <w:t>в</w:t>
            </w:r>
            <w:proofErr w:type="spellEnd"/>
            <w:r w:rsidRPr="00D93636">
              <w:rPr>
                <w:rFonts w:cs="EUAlbertina"/>
                <w:color w:val="0070C0"/>
                <w:lang w:val="bg-BG"/>
              </w:rPr>
              <w:t xml:space="preserve"> оборудване за ограничаване и, когато е възможно, премахване на физическото и биологичното въздействие на риболова върху съответната екосистема или морското дъно; </w:t>
            </w:r>
          </w:p>
          <w:p w:rsidR="00695D9F" w:rsidRPr="00D93636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г) в оборудване за защита на риболовните уреди и улова от бозайници и птици,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F9" w:rsidRPr="004D757A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color w:val="0070C0"/>
                <w:u w:val="single"/>
                <w:lang w:val="bg-BG"/>
              </w:rPr>
            </w:pPr>
            <w:r w:rsidRPr="004D757A">
              <w:rPr>
                <w:rFonts w:cs="EUAlbertina"/>
                <w:b/>
                <w:color w:val="0070C0"/>
                <w:u w:val="single"/>
                <w:lang w:val="bg-BG"/>
              </w:rPr>
              <w:lastRenderedPageBreak/>
              <w:t>Добавено изискване:</w:t>
            </w:r>
          </w:p>
          <w:p w:rsidR="00695D9F" w:rsidRPr="006A4BE4" w:rsidRDefault="00695D9F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6A4BE4">
              <w:rPr>
                <w:rFonts w:cs="EUAlbertina"/>
                <w:color w:val="0070C0"/>
                <w:lang w:val="bg-BG"/>
              </w:rPr>
              <w:t xml:space="preserve">Подпомагане се предоставя </w:t>
            </w:r>
            <w:r w:rsidRPr="006A4BE4">
              <w:rPr>
                <w:rFonts w:cs="EUAlbertina"/>
                <w:color w:val="FF0000"/>
                <w:lang w:val="bg-BG"/>
              </w:rPr>
              <w:t xml:space="preserve">само веднъж </w:t>
            </w:r>
            <w:r w:rsidRPr="006A4BE4">
              <w:rPr>
                <w:rFonts w:cs="EUAlbertina"/>
                <w:color w:val="0070C0"/>
                <w:lang w:val="bg-BG"/>
              </w:rPr>
              <w:t xml:space="preserve">през програмния период </w:t>
            </w:r>
            <w:r w:rsidRPr="006A4BE4">
              <w:rPr>
                <w:rFonts w:cs="EUAlbertina"/>
                <w:color w:val="FF0000"/>
                <w:lang w:val="bg-BG"/>
              </w:rPr>
              <w:t xml:space="preserve">за един и същ </w:t>
            </w:r>
            <w:r w:rsidRPr="006A4BE4">
              <w:rPr>
                <w:rFonts w:cs="EUAlbertina"/>
                <w:color w:val="FF0000"/>
                <w:lang w:val="bg-BG"/>
              </w:rPr>
              <w:lastRenderedPageBreak/>
              <w:t>вид оборудване на един и същ риболовен кораб</w:t>
            </w:r>
            <w:r w:rsidRPr="006A4BE4">
              <w:rPr>
                <w:rFonts w:cs="EUAlbertina"/>
                <w:color w:val="0070C0"/>
                <w:lang w:val="bg-BG"/>
              </w:rPr>
              <w:t xml:space="preserve"> на Съюза. </w:t>
            </w:r>
          </w:p>
          <w:p w:rsidR="00695D9F" w:rsidRPr="00D93636" w:rsidRDefault="00695D9F" w:rsidP="00D93636">
            <w:pPr>
              <w:spacing w:before="60" w:after="60"/>
              <w:rPr>
                <w:rFonts w:eastAsia="Times New Roman"/>
                <w:color w:val="0070C0"/>
                <w:lang w:val="bg-BG"/>
              </w:rPr>
            </w:pPr>
          </w:p>
        </w:tc>
      </w:tr>
      <w:tr w:rsidR="00D93636" w:rsidRPr="00D93636" w:rsidTr="00012DA1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lastRenderedPageBreak/>
              <w:t xml:space="preserve">Мярка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„Окончателно преустановяване на риболовните дейности“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 xml:space="preserve">Чл.33б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Окончателно преустановяване на риболовните дейности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Прекратяване на риболовни дейности чрез скрапиране на риболовните кораби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i/>
                <w:iCs/>
                <w:color w:val="0070C0"/>
                <w:lang w:val="bg-BG"/>
              </w:rPr>
              <w:t xml:space="preserve">Член 34 </w:t>
            </w:r>
          </w:p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b/>
                <w:bCs/>
                <w:color w:val="0070C0"/>
                <w:lang w:val="bg-BG"/>
              </w:rPr>
              <w:t xml:space="preserve">Окончателно преустановяване на риболовните дейности </w:t>
            </w:r>
          </w:p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1. ЕФМДР може да подпомага мерки за окончателното преустановяване на риболовните дейности, само когато това е постигнато чрез </w:t>
            </w:r>
            <w:proofErr w:type="spellStart"/>
            <w:r w:rsidRPr="00D93636">
              <w:rPr>
                <w:rFonts w:cs="EUAlbertina"/>
                <w:color w:val="0070C0"/>
                <w:lang w:val="bg-BG"/>
              </w:rPr>
              <w:t>скрапирането</w:t>
            </w:r>
            <w:proofErr w:type="spellEnd"/>
            <w:r w:rsidRPr="00D93636">
              <w:rPr>
                <w:rFonts w:cs="EUAlbertina"/>
                <w:color w:val="0070C0"/>
                <w:lang w:val="bg-BG"/>
              </w:rPr>
              <w:t xml:space="preserve"> на риболовни кораби и при условие че: </w:t>
            </w:r>
          </w:p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а) такова скрапиране е предвидено в оперативната програма, посочена в член 18; и </w:t>
            </w:r>
          </w:p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б) окончателното преустановяване е предвидено като инструмент в план за действие по член 22, параграф 4 от Регламент (ЕС) № 1380/2013, като от него е видно, че сегментът </w:t>
            </w:r>
            <w:r w:rsidRPr="00D93636">
              <w:rPr>
                <w:rFonts w:cs="EUAlbertina"/>
                <w:color w:val="0070C0"/>
                <w:lang w:val="bg-BG"/>
              </w:rPr>
              <w:lastRenderedPageBreak/>
              <w:t xml:space="preserve">на флота не е ефективно балансиран по отношение на предоставените на този сегмент възможности за риболов. </w:t>
            </w:r>
          </w:p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2. Подпомагането по параграф 1 се предоставя на: </w:t>
            </w:r>
          </w:p>
          <w:p w:rsidR="007E1CF9" w:rsidRPr="00D93636" w:rsidRDefault="007E1CF9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а) собственици на риболовни кораби на Съюза, регистрирани като действащи, които са извършвали риболовна дейност в морето в продължение на най-малко 90 дни годишно през последните две календарни години, предхождащи датата на подаване на заявлението за подпомагане, или </w:t>
            </w:r>
          </w:p>
          <w:p w:rsidR="004526C8" w:rsidRPr="00D93636" w:rsidRDefault="007E1CF9" w:rsidP="00D93636">
            <w:pPr>
              <w:spacing w:before="60" w:after="60"/>
              <w:jc w:val="both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>б) рибари, които са работили в морето в продължение на най-малко 90 дни годишно през последните две календарни години, предхождащи датата на подаване на заявлението за подпомагане, на борда на риболовен кораб на Съюза, засегнат от окончателното преустановяване</w:t>
            </w:r>
            <w:r w:rsidR="00D93636">
              <w:rPr>
                <w:rFonts w:cs="EUAlbertina"/>
                <w:color w:val="0070C0"/>
                <w:lang w:val="bg-BG"/>
              </w:rPr>
              <w:t>.</w:t>
            </w:r>
            <w:r w:rsidR="004526C8" w:rsidRPr="00D93636">
              <w:rPr>
                <w:color w:val="0070C0"/>
                <w:lang w:val="bg-BG"/>
              </w:rPr>
              <w:t>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F9" w:rsidRPr="00D93636" w:rsidRDefault="007E1CF9" w:rsidP="00D93636">
            <w:pPr>
              <w:spacing w:before="60" w:after="60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lastRenderedPageBreak/>
              <w:t xml:space="preserve">1. </w:t>
            </w:r>
            <w:r w:rsidR="004526C8" w:rsidRPr="00D93636">
              <w:rPr>
                <w:color w:val="0070C0"/>
                <w:lang w:val="bg-BG"/>
              </w:rPr>
              <w:t>Период</w:t>
            </w:r>
            <w:r w:rsidRPr="00D93636">
              <w:rPr>
                <w:color w:val="0070C0"/>
                <w:lang w:val="bg-BG"/>
              </w:rPr>
              <w:t>ът</w:t>
            </w:r>
            <w:r w:rsidR="004526C8" w:rsidRPr="00D93636">
              <w:rPr>
                <w:color w:val="0070C0"/>
                <w:lang w:val="bg-BG"/>
              </w:rPr>
              <w:t xml:space="preserve"> за извършване на риболовни дейности е увеличен </w:t>
            </w:r>
            <w:r w:rsidR="004526C8" w:rsidRPr="006A4BE4">
              <w:rPr>
                <w:color w:val="FF0000"/>
                <w:lang w:val="bg-BG"/>
              </w:rPr>
              <w:t xml:space="preserve">от 60 на 90 дни </w:t>
            </w:r>
            <w:r w:rsidR="004526C8" w:rsidRPr="00D93636">
              <w:rPr>
                <w:color w:val="0070C0"/>
                <w:lang w:val="bg-BG"/>
              </w:rPr>
              <w:t xml:space="preserve">на море. </w:t>
            </w:r>
          </w:p>
          <w:p w:rsidR="007E1CF9" w:rsidRPr="00D93636" w:rsidRDefault="007E1CF9" w:rsidP="00D93636">
            <w:pPr>
              <w:spacing w:before="60" w:after="60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2. </w:t>
            </w:r>
            <w:r w:rsidR="004526C8" w:rsidRPr="00D93636">
              <w:rPr>
                <w:color w:val="0070C0"/>
                <w:lang w:val="bg-BG"/>
              </w:rPr>
              <w:t>Период</w:t>
            </w:r>
            <w:r w:rsidRPr="00D93636">
              <w:rPr>
                <w:color w:val="0070C0"/>
                <w:lang w:val="bg-BG"/>
              </w:rPr>
              <w:t xml:space="preserve">ът за забрана за </w:t>
            </w:r>
            <w:r w:rsidR="004526C8" w:rsidRPr="00D93636">
              <w:rPr>
                <w:color w:val="0070C0"/>
                <w:lang w:val="bg-BG"/>
              </w:rPr>
              <w:t xml:space="preserve">връщане към риболовни дейности е увеличен </w:t>
            </w:r>
            <w:r w:rsidR="004526C8" w:rsidRPr="006A4BE4">
              <w:rPr>
                <w:color w:val="FF0000"/>
                <w:lang w:val="bg-BG"/>
              </w:rPr>
              <w:t>от 1 година на 2 години</w:t>
            </w:r>
            <w:r w:rsidR="004526C8" w:rsidRPr="00D93636">
              <w:rPr>
                <w:color w:val="0070C0"/>
                <w:lang w:val="bg-BG"/>
              </w:rPr>
              <w:t xml:space="preserve">. </w:t>
            </w:r>
          </w:p>
          <w:p w:rsidR="007E1CF9" w:rsidRPr="00D93636" w:rsidRDefault="007E1CF9" w:rsidP="00D93636">
            <w:pPr>
              <w:pStyle w:val="CM1"/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  <w:lang w:val="bg-BG"/>
              </w:rPr>
            </w:pPr>
            <w:r w:rsidRPr="00D93636">
              <w:rPr>
                <w:rFonts w:asciiTheme="minorHAnsi" w:hAnsiTheme="minorHAnsi"/>
                <w:color w:val="0070C0"/>
                <w:sz w:val="22"/>
                <w:szCs w:val="22"/>
                <w:lang w:val="bg-BG"/>
              </w:rPr>
              <w:t xml:space="preserve">3. </w:t>
            </w:r>
            <w:r w:rsidR="004526C8" w:rsidRPr="006A4BE4"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  <w:lang w:val="bg-BG"/>
              </w:rPr>
              <w:t>Добавен</w:t>
            </w:r>
            <w:r w:rsidRPr="006A4BE4"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  <w:lang w:val="bg-BG"/>
              </w:rPr>
              <w:t>а е нова точка</w:t>
            </w:r>
            <w:r w:rsidRPr="00D93636">
              <w:rPr>
                <w:rFonts w:asciiTheme="minorHAnsi" w:hAnsiTheme="minorHAnsi"/>
                <w:color w:val="0070C0"/>
                <w:sz w:val="22"/>
                <w:szCs w:val="22"/>
                <w:lang w:val="bg-BG"/>
              </w:rPr>
              <w:t>: М</w:t>
            </w:r>
            <w:r w:rsidRPr="00D93636">
              <w:rPr>
                <w:rFonts w:asciiTheme="minorHAnsi" w:hAnsiTheme="minorHAnsi" w:cs="EUAlbertina"/>
                <w:color w:val="0070C0"/>
                <w:sz w:val="22"/>
                <w:szCs w:val="22"/>
                <w:lang w:val="bg-BG"/>
              </w:rPr>
              <w:t xml:space="preserve">оже да се предостави подпомагане за окончателно преустановяване на риболовните дейности без скрапиране, при условие че корабите се </w:t>
            </w:r>
            <w:r w:rsidRPr="006A4BE4">
              <w:rPr>
                <w:rFonts w:asciiTheme="minorHAnsi" w:hAnsiTheme="minorHAnsi" w:cs="EUAlbertina"/>
                <w:color w:val="FF0000"/>
                <w:sz w:val="22"/>
                <w:szCs w:val="22"/>
                <w:lang w:val="bg-BG"/>
              </w:rPr>
              <w:t xml:space="preserve">модифицират </w:t>
            </w:r>
            <w:r w:rsidRPr="006A4BE4">
              <w:rPr>
                <w:rFonts w:asciiTheme="minorHAnsi" w:hAnsiTheme="minorHAnsi" w:cs="EUAlbertina"/>
                <w:color w:val="0070C0"/>
                <w:sz w:val="22"/>
                <w:szCs w:val="22"/>
                <w:lang w:val="bg-BG"/>
              </w:rPr>
              <w:t xml:space="preserve">за извършване на дейности, различни от търговския </w:t>
            </w:r>
            <w:r w:rsidRPr="006A4BE4">
              <w:rPr>
                <w:rFonts w:asciiTheme="minorHAnsi" w:hAnsiTheme="minorHAnsi" w:cs="EUAlbertina"/>
                <w:color w:val="0070C0"/>
                <w:sz w:val="22"/>
                <w:szCs w:val="22"/>
                <w:lang w:val="bg-BG"/>
              </w:rPr>
              <w:lastRenderedPageBreak/>
              <w:t>риболов</w:t>
            </w:r>
            <w:r w:rsidRPr="00D93636">
              <w:rPr>
                <w:rFonts w:asciiTheme="minorHAnsi" w:hAnsiTheme="minorHAnsi" w:cs="EUAlbertina"/>
                <w:color w:val="0070C0"/>
                <w:sz w:val="22"/>
                <w:szCs w:val="22"/>
                <w:lang w:val="bg-BG"/>
              </w:rPr>
              <w:t xml:space="preserve"> </w:t>
            </w:r>
            <w:r w:rsidR="004526C8" w:rsidRPr="00D93636">
              <w:rPr>
                <w:rFonts w:asciiTheme="minorHAnsi" w:hAnsiTheme="minorHAnsi"/>
                <w:color w:val="0070C0"/>
                <w:sz w:val="22"/>
                <w:szCs w:val="22"/>
                <w:lang w:val="bg-BG"/>
              </w:rPr>
              <w:t xml:space="preserve"> </w:t>
            </w:r>
          </w:p>
          <w:p w:rsidR="007E1CF9" w:rsidRPr="00D93636" w:rsidRDefault="007E1CF9" w:rsidP="00D93636">
            <w:pPr>
              <w:pStyle w:val="CM1"/>
              <w:spacing w:before="60" w:after="60"/>
              <w:rPr>
                <w:rFonts w:asciiTheme="minorHAnsi" w:hAnsiTheme="minorHAnsi"/>
                <w:color w:val="0070C0"/>
                <w:sz w:val="22"/>
                <w:szCs w:val="22"/>
                <w:lang w:val="bg-BG"/>
              </w:rPr>
            </w:pPr>
          </w:p>
          <w:p w:rsidR="004526C8" w:rsidRPr="00D93636" w:rsidRDefault="00863088" w:rsidP="00D93636">
            <w:pPr>
              <w:pStyle w:val="CM1"/>
              <w:spacing w:before="60" w:after="60"/>
              <w:rPr>
                <w:rFonts w:asciiTheme="minorHAnsi" w:eastAsia="Times New Roman" w:hAnsiTheme="minorHAnsi" w:cs="Times New Roman"/>
                <w:color w:val="0070C0"/>
                <w:sz w:val="22"/>
                <w:szCs w:val="22"/>
                <w:lang w:val="bg-BG"/>
              </w:rPr>
            </w:pPr>
            <w:r w:rsidRPr="00D93636">
              <w:rPr>
                <w:rFonts w:asciiTheme="minorHAnsi" w:eastAsia="Times New Roman" w:hAnsiTheme="minorHAnsi" w:cs="Times New Roman"/>
                <w:color w:val="0070C0"/>
                <w:sz w:val="22"/>
                <w:szCs w:val="22"/>
                <w:lang w:val="bg-BG"/>
              </w:rPr>
              <w:t xml:space="preserve"> </w:t>
            </w:r>
          </w:p>
        </w:tc>
      </w:tr>
      <w:tr w:rsidR="00D93636" w:rsidRPr="00D93636" w:rsidTr="00012DA1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lastRenderedPageBreak/>
              <w:t>Глава II Устойчиво развитие на аквакултурите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  <w:tr w:rsidR="007E1CF9" w:rsidRPr="00D93636" w:rsidTr="007E1CF9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Мярка „Производствени инвестиции в аквакултурите“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Чл.46 Производствени инвестиции в аквакултурите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Подпомагане на производствени инвестиции в аквакултурите; диверсификацията на производството на аквакултури и на отглежданите видове; осъвременяването на обектите за аквакултури, включително подобряването на условията на труд и безопасност за работещите в сектора; др.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color w:val="0070C0"/>
                <w:lang w:val="bg-BG"/>
              </w:rPr>
            </w:pPr>
            <w:r w:rsidRPr="00D93636">
              <w:rPr>
                <w:rFonts w:cs="EUAlbertina"/>
                <w:b/>
                <w:i/>
                <w:iCs/>
                <w:color w:val="0070C0"/>
                <w:lang w:val="bg-BG"/>
              </w:rPr>
              <w:t xml:space="preserve">Член 48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b/>
                <w:bCs/>
                <w:color w:val="0070C0"/>
                <w:lang w:val="bg-BG"/>
              </w:rPr>
              <w:t xml:space="preserve">Продуктивни инвестиции в аквакултурите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1. ЕФМДР може да подпомага: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а) продуктивните инвестиции в аквакултурите;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б) диверсификацията на продукцията на аквакултурите и отглежданите видове;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в) осъвременяването на обектите за аквакултури, включително подобряването на условията на труд и безопасност за работещите в сектора;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г) подобряването и осъвременяването, свързани със здравето на животните и хуманното отношение към тях, включително закупуване на оборудване за предпазване на стопанствата от диви хищници;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lastRenderedPageBreak/>
              <w:t xml:space="preserve">д) инвестиции, намаляващи отрицателното въздействие или повишаващи положителното въздействие върху околната среда, както и подобряването на ефективното използване на ресурсите;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е) инвестициите в повишаване на качеството или добавената стойност на продуктите от аквакултури;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ж) възстановяването на съществуващите изкуствени водоеми или лагуни, използвани за аквакултури, чрез премахване на утайките или инвестиции, насочени към предотвратяване на отлагането на утайки; </w:t>
            </w:r>
          </w:p>
          <w:p w:rsidR="004526C8" w:rsidRPr="00D93636" w:rsidRDefault="00863088" w:rsidP="00D93636">
            <w:pPr>
              <w:spacing w:before="60" w:after="60"/>
              <w:jc w:val="both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>з) диверсификацията на доходите на предприятията за аквакултури чрез развиване на допълнителни дейности;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и) инвестиции, водещи до значително намаляване на въздействието на предприятията за аквакултури върху потреблението и качеството на водата, по-специално чрез намаляване на използваното количество вода или химикали, антибиотици и други лекарствени продукти или чрез повишаване на качеството на отпадните води, включително чрез разработване на </w:t>
            </w:r>
            <w:proofErr w:type="spellStart"/>
            <w:r w:rsidRPr="00D93636">
              <w:rPr>
                <w:rFonts w:cs="EUAlbertina"/>
                <w:color w:val="0070C0"/>
                <w:lang w:val="bg-BG"/>
              </w:rPr>
              <w:t>мултитрофични</w:t>
            </w:r>
            <w:proofErr w:type="spellEnd"/>
            <w:r w:rsidRPr="00D93636">
              <w:rPr>
                <w:rFonts w:cs="EUAlbertina"/>
                <w:color w:val="0070C0"/>
                <w:lang w:val="bg-BG"/>
              </w:rPr>
              <w:t xml:space="preserve"> системи за аквакултури;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й) насърчаването на затворени системи за аквакултури, в които продуктите от аквакултури се отглеждат в затворени рециркулационни системи, като по този начин се свежда до минимум потреблението на вода;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к) инвестиции в повишаването на енергийната ефективност и насърчаването на преминаването на предприятията за аквакултури към възобновяеми източници на енергия. </w:t>
            </w:r>
          </w:p>
          <w:p w:rsidR="00863088" w:rsidRPr="00D93636" w:rsidRDefault="00863088" w:rsidP="00C9643B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color w:val="0070C0"/>
                <w:lang w:val="bg-BG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Default="00C9643B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>
              <w:rPr>
                <w:color w:val="0070C0"/>
                <w:lang w:val="bg-BG"/>
              </w:rPr>
              <w:lastRenderedPageBreak/>
              <w:t xml:space="preserve">1. </w:t>
            </w:r>
            <w:r w:rsidRPr="006A4BE4">
              <w:rPr>
                <w:b/>
                <w:color w:val="FF0000"/>
                <w:u w:val="single"/>
                <w:lang w:val="bg-BG"/>
              </w:rPr>
              <w:t>Обединени са два члена</w:t>
            </w:r>
          </w:p>
          <w:p w:rsidR="00C9643B" w:rsidRPr="00D93636" w:rsidRDefault="00C9643B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</w:p>
          <w:p w:rsidR="00863088" w:rsidRPr="00D93636" w:rsidRDefault="00C9643B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>
              <w:rPr>
                <w:color w:val="0070C0"/>
                <w:lang w:val="bg-BG"/>
              </w:rPr>
              <w:t>2.</w:t>
            </w:r>
            <w:r w:rsidR="00D93636">
              <w:rPr>
                <w:color w:val="0070C0"/>
                <w:lang w:val="bg-BG"/>
              </w:rPr>
              <w:t xml:space="preserve">Добавени са </w:t>
            </w:r>
            <w:r w:rsidR="00D93636" w:rsidRPr="00C9643B">
              <w:rPr>
                <w:b/>
                <w:color w:val="0070C0"/>
                <w:u w:val="single"/>
                <w:lang w:val="bg-BG"/>
              </w:rPr>
              <w:t>нови допустими инвестиции</w:t>
            </w:r>
            <w:r w:rsidR="00D93636">
              <w:rPr>
                <w:color w:val="0070C0"/>
                <w:lang w:val="bg-BG"/>
              </w:rPr>
              <w:t>:</w:t>
            </w:r>
            <w:r w:rsidR="004526C8" w:rsidRPr="00D93636">
              <w:rPr>
                <w:color w:val="0070C0"/>
                <w:lang w:val="bg-BG"/>
              </w:rPr>
              <w:t xml:space="preserve"> </w:t>
            </w:r>
          </w:p>
          <w:p w:rsidR="00863088" w:rsidRPr="00D93636" w:rsidRDefault="00863088" w:rsidP="00D93636">
            <w:pPr>
              <w:spacing w:before="60" w:after="60"/>
              <w:jc w:val="both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з) диверсификацията на доходите на предприятията за аквакултури чрез развиване на </w:t>
            </w:r>
            <w:r w:rsidRPr="006A4BE4">
              <w:rPr>
                <w:rFonts w:cs="EUAlbertina"/>
                <w:color w:val="FF0000"/>
                <w:lang w:val="bg-BG"/>
              </w:rPr>
              <w:t xml:space="preserve">допълнителни дейности </w:t>
            </w:r>
            <w:r w:rsidRPr="00D93636">
              <w:rPr>
                <w:rFonts w:cs="EUAlbertina"/>
                <w:color w:val="0070C0"/>
                <w:lang w:val="bg-BG"/>
              </w:rPr>
              <w:t>– само като допълнителна дейност!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и) инвестиции, водещи до значително намаляване на въздействието на предприятията за аквакултури върху </w:t>
            </w:r>
            <w:r w:rsidRPr="006A4BE4">
              <w:rPr>
                <w:rFonts w:cs="EUAlbertina"/>
                <w:color w:val="FF0000"/>
                <w:lang w:val="bg-BG"/>
              </w:rPr>
              <w:t>потре</w:t>
            </w:r>
            <w:r w:rsidR="00D93636" w:rsidRPr="006A4BE4">
              <w:rPr>
                <w:rFonts w:cs="EUAlbertina"/>
                <w:color w:val="FF0000"/>
                <w:lang w:val="bg-BG"/>
              </w:rPr>
              <w:t>блението и качеството на водата</w:t>
            </w:r>
            <w:r w:rsidRPr="00D93636">
              <w:rPr>
                <w:rFonts w:cs="EUAlbertina"/>
                <w:color w:val="0070C0"/>
                <w:lang w:val="bg-BG"/>
              </w:rPr>
              <w:t xml:space="preserve">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й) насърчаването на затворени системи за </w:t>
            </w:r>
            <w:r w:rsidRPr="00D93636">
              <w:rPr>
                <w:rFonts w:cs="EUAlbertina"/>
                <w:color w:val="0070C0"/>
                <w:lang w:val="bg-BG"/>
              </w:rPr>
              <w:lastRenderedPageBreak/>
              <w:t xml:space="preserve">аквакултури, в които продуктите от аквакултури се отглеждат в затворени рециркулационни системи, като по този начин се свежда до </w:t>
            </w:r>
            <w:r w:rsidRPr="006A4BE4">
              <w:rPr>
                <w:rFonts w:cs="EUAlbertina"/>
                <w:color w:val="FF0000"/>
                <w:lang w:val="bg-BG"/>
              </w:rPr>
              <w:t>минимум потреблението на вода</w:t>
            </w:r>
            <w:r w:rsidRPr="00D93636">
              <w:rPr>
                <w:rFonts w:cs="EUAlbertina"/>
                <w:color w:val="0070C0"/>
                <w:lang w:val="bg-BG"/>
              </w:rPr>
              <w:t xml:space="preserve">; </w:t>
            </w:r>
          </w:p>
          <w:p w:rsidR="00863088" w:rsidRPr="00D93636" w:rsidRDefault="00863088" w:rsidP="00D93636">
            <w:pPr>
              <w:spacing w:before="60" w:after="60"/>
              <w:jc w:val="both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к) Инвестиции в повишаването на </w:t>
            </w:r>
            <w:r w:rsidRPr="006A4BE4">
              <w:rPr>
                <w:rFonts w:cs="EUAlbertina"/>
                <w:color w:val="FF0000"/>
                <w:lang w:val="bg-BG"/>
              </w:rPr>
              <w:t xml:space="preserve">енергийната ефективност </w:t>
            </w:r>
            <w:r w:rsidRPr="00D93636">
              <w:rPr>
                <w:rFonts w:cs="EUAlbertina"/>
                <w:color w:val="0070C0"/>
                <w:lang w:val="bg-BG"/>
              </w:rPr>
              <w:t xml:space="preserve">и насърчаването на преминаването на предприятията за аквакултури към </w:t>
            </w:r>
            <w:r w:rsidRPr="006A4BE4">
              <w:rPr>
                <w:rFonts w:cs="EUAlbertina"/>
                <w:color w:val="FF0000"/>
                <w:lang w:val="bg-BG"/>
              </w:rPr>
              <w:t>възобновяеми източници на енергия</w:t>
            </w:r>
            <w:r w:rsidRPr="00D93636">
              <w:rPr>
                <w:rFonts w:cs="EUAlbertina"/>
                <w:color w:val="0070C0"/>
                <w:lang w:val="bg-BG"/>
              </w:rPr>
              <w:t>.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  <w:tr w:rsidR="007E1CF9" w:rsidRPr="00D93636" w:rsidTr="007E1CF9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lastRenderedPageBreak/>
              <w:t xml:space="preserve">Мярка „Нови форми на доход и добавена </w:t>
            </w:r>
            <w:r w:rsidRPr="00D93636">
              <w:rPr>
                <w:b/>
                <w:color w:val="0070C0"/>
                <w:lang w:val="bg-BG"/>
              </w:rPr>
              <w:lastRenderedPageBreak/>
              <w:t>стойност в аквакултурата“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 xml:space="preserve">Чл.47 Нови форми на доход и добавена стойност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Подпомагане на инвестиции, допринасящи за добавянето на стойност към продуктите на аквакултурите, диверсификацията на дохода на предприятията за аквакултури чрез развиването на допълнителни дейности, различни от аквакултурите.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C8" w:rsidRPr="00D93636" w:rsidRDefault="0086308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5E5CA0">
              <w:rPr>
                <w:color w:val="FF0000"/>
                <w:lang w:val="bg-BG"/>
              </w:rPr>
              <w:lastRenderedPageBreak/>
              <w:t>Този член отпада</w:t>
            </w:r>
            <w:r w:rsidRPr="00D93636">
              <w:rPr>
                <w:color w:val="0070C0"/>
                <w:lang w:val="bg-BG"/>
              </w:rPr>
              <w:t>.</w:t>
            </w:r>
            <w:r w:rsidR="004526C8" w:rsidRPr="00D93636">
              <w:rPr>
                <w:color w:val="0070C0"/>
                <w:lang w:val="bg-BG"/>
              </w:rPr>
              <w:t xml:space="preserve">Част от разпоредбите са включени в </w:t>
            </w:r>
            <w:r w:rsidR="004526C8" w:rsidRPr="00D93636">
              <w:rPr>
                <w:b/>
                <w:color w:val="0070C0"/>
                <w:lang w:val="bg-BG"/>
              </w:rPr>
              <w:t>член 4</w:t>
            </w:r>
            <w:r w:rsidRPr="00D93636">
              <w:rPr>
                <w:b/>
                <w:color w:val="0070C0"/>
                <w:lang w:val="bg-BG"/>
              </w:rPr>
              <w:t>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  <w:tr w:rsidR="00D93636" w:rsidRPr="00D93636" w:rsidTr="00012DA1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8" w:rsidRPr="00D93636" w:rsidRDefault="0086308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88" w:rsidRPr="005E5CA0" w:rsidRDefault="00863088" w:rsidP="00D93636">
            <w:pPr>
              <w:spacing w:before="60" w:after="60"/>
              <w:jc w:val="both"/>
              <w:rPr>
                <w:rFonts w:eastAsia="Times New Roman"/>
                <w:b/>
                <w:color w:val="FF0000"/>
                <w:u w:val="single"/>
                <w:lang w:val="bg-BG"/>
              </w:rPr>
            </w:pPr>
            <w:r w:rsidRPr="005E5CA0">
              <w:rPr>
                <w:rFonts w:eastAsia="Times New Roman"/>
                <w:b/>
                <w:color w:val="FF0000"/>
                <w:u w:val="single"/>
                <w:lang w:val="bg-BG"/>
              </w:rPr>
              <w:t>Нов член: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b/>
                <w:color w:val="0070C0"/>
                <w:lang w:val="bg-BG"/>
              </w:rPr>
            </w:pPr>
            <w:r w:rsidRPr="00D93636">
              <w:rPr>
                <w:rFonts w:cs="EUAlbertina"/>
                <w:b/>
                <w:i/>
                <w:iCs/>
                <w:color w:val="0070C0"/>
                <w:lang w:val="bg-BG"/>
              </w:rPr>
              <w:t xml:space="preserve">Член 52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b/>
                <w:bCs/>
                <w:color w:val="0070C0"/>
                <w:lang w:val="bg-BG"/>
              </w:rPr>
              <w:t xml:space="preserve">Насърчаване на нови производители на аквакултури, развиващи устойчиви аквакултури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1. С цел насърчаване на предприемачеството в сектора на аквакултурите ЕФМДР може да подпомага създаването на предприятия за устойчиви аквакултури от нови производители на аквакултури.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2. Подпомагането по параграф 1 се предоставя на производители на аквакултури, които навлизат в сектора, при условие че: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>а) притежават съответни</w:t>
            </w:r>
            <w:r w:rsidRPr="00D93636">
              <w:rPr>
                <w:rFonts w:cs="EUAlbertina"/>
                <w:b/>
                <w:color w:val="0070C0"/>
                <w:u w:val="single"/>
                <w:lang w:val="bg-BG"/>
              </w:rPr>
              <w:t xml:space="preserve"> професионални умения</w:t>
            </w:r>
            <w:r w:rsidRPr="00D93636">
              <w:rPr>
                <w:rFonts w:cs="EUAlbertina"/>
                <w:color w:val="0070C0"/>
                <w:lang w:val="bg-BG"/>
              </w:rPr>
              <w:t xml:space="preserve"> и компетентност; </w:t>
            </w:r>
          </w:p>
          <w:p w:rsidR="00863088" w:rsidRPr="00D93636" w:rsidRDefault="00863088" w:rsidP="00D93636">
            <w:pPr>
              <w:autoSpaceDE w:val="0"/>
              <w:autoSpaceDN w:val="0"/>
              <w:adjustRightInd w:val="0"/>
              <w:spacing w:before="60" w:after="60"/>
              <w:rPr>
                <w:rFonts w:cs="EUAlbertina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б) за </w:t>
            </w:r>
            <w:r w:rsidRPr="00D93636">
              <w:rPr>
                <w:rFonts w:cs="EUAlbertina"/>
                <w:b/>
                <w:color w:val="0070C0"/>
                <w:u w:val="single"/>
                <w:lang w:val="bg-BG"/>
              </w:rPr>
              <w:t>пръв път създават</w:t>
            </w:r>
            <w:r w:rsidRPr="00D93636">
              <w:rPr>
                <w:rFonts w:cs="EUAlbertina"/>
                <w:color w:val="0070C0"/>
                <w:lang w:val="bg-BG"/>
              </w:rPr>
              <w:t xml:space="preserve"> </w:t>
            </w:r>
            <w:proofErr w:type="spellStart"/>
            <w:r w:rsidRPr="00D93636">
              <w:rPr>
                <w:rFonts w:cs="EUAlbertina"/>
                <w:color w:val="0070C0"/>
                <w:lang w:val="bg-BG"/>
              </w:rPr>
              <w:t>микропредприятие</w:t>
            </w:r>
            <w:proofErr w:type="spellEnd"/>
            <w:r w:rsidRPr="00D93636">
              <w:rPr>
                <w:rFonts w:cs="EUAlbertina"/>
                <w:color w:val="0070C0"/>
                <w:lang w:val="bg-BG"/>
              </w:rPr>
              <w:t xml:space="preserve"> или малко предприятие за аквакултури като ръководители на такова предприятие; и </w:t>
            </w:r>
          </w:p>
          <w:p w:rsidR="00863088" w:rsidRPr="00D93636" w:rsidRDefault="00863088" w:rsidP="00C9643B">
            <w:pPr>
              <w:spacing w:before="60" w:after="60"/>
              <w:jc w:val="both"/>
              <w:rPr>
                <w:rFonts w:eastAsia="Times New Roman"/>
                <w:color w:val="0070C0"/>
                <w:lang w:val="bg-BG"/>
              </w:rPr>
            </w:pPr>
            <w:r w:rsidRPr="00D93636">
              <w:rPr>
                <w:rFonts w:cs="EUAlbertina"/>
                <w:color w:val="0070C0"/>
                <w:lang w:val="bg-BG"/>
              </w:rPr>
              <w:t xml:space="preserve">в) представят </w:t>
            </w:r>
            <w:r w:rsidRPr="00D93636">
              <w:rPr>
                <w:rFonts w:cs="EUAlbertina"/>
                <w:b/>
                <w:color w:val="0070C0"/>
                <w:u w:val="single"/>
                <w:lang w:val="bg-BG"/>
              </w:rPr>
              <w:t>бизнес план</w:t>
            </w:r>
            <w:r w:rsidRPr="00D93636">
              <w:rPr>
                <w:rFonts w:cs="EUAlbertina"/>
                <w:color w:val="0070C0"/>
                <w:lang w:val="bg-BG"/>
              </w:rPr>
              <w:t xml:space="preserve"> за развитието на своите дейности, свързани с аквакултурите.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88" w:rsidRPr="00D93636" w:rsidRDefault="0086308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</w:p>
        </w:tc>
      </w:tr>
      <w:tr w:rsidR="00C9643B" w:rsidRPr="00D93636" w:rsidTr="00012DA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3B" w:rsidRPr="00D93636" w:rsidRDefault="00C9643B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lastRenderedPageBreak/>
              <w:t>Глава III Устойчиво развитие на рибарските райони</w:t>
            </w:r>
          </w:p>
        </w:tc>
      </w:tr>
      <w:tr w:rsidR="00C9643B" w:rsidRPr="00D93636" w:rsidTr="00012DA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643B" w:rsidRPr="00C9643B" w:rsidRDefault="00C9643B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Глава IV Мерки, свързани с предлагането на пазара и преработването</w:t>
            </w:r>
          </w:p>
        </w:tc>
      </w:tr>
      <w:tr w:rsidR="007E1CF9" w:rsidRPr="00D93636" w:rsidTr="007E1CF9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Мярка „Мерки за предлагане на пазара“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Чл.71 Мерки за предлагане на пазара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Подпомага мерки за предлагане на пазара на продуктите на риболова и аквакултурите, 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71" w:rsidRPr="00B03471" w:rsidRDefault="00B03471" w:rsidP="00B03471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B03471">
              <w:rPr>
                <w:b/>
                <w:color w:val="0070C0"/>
                <w:lang w:val="bg-BG"/>
              </w:rPr>
              <w:t>Член 68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B03471">
              <w:rPr>
                <w:b/>
                <w:color w:val="0070C0"/>
                <w:lang w:val="bg-BG"/>
              </w:rPr>
              <w:t>Мерки за предлагане на пазара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B03471">
              <w:rPr>
                <w:color w:val="0070C0"/>
                <w:lang w:val="bg-BG"/>
              </w:rPr>
              <w:t>1. ЕФМДР може да подпомага мерки за предлагане на пазара на продуктите от риболов и аквакултури, с които се цели: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B03471">
              <w:rPr>
                <w:color w:val="0070C0"/>
                <w:lang w:val="bg-BG"/>
              </w:rPr>
              <w:t xml:space="preserve">а) </w:t>
            </w:r>
            <w:r w:rsidRPr="00B03471">
              <w:rPr>
                <w:b/>
                <w:color w:val="0070C0"/>
                <w:u w:val="single"/>
                <w:lang w:val="bg-BG"/>
              </w:rPr>
              <w:t>създаване на организации на производители</w:t>
            </w:r>
            <w:r w:rsidRPr="00B03471">
              <w:rPr>
                <w:color w:val="0070C0"/>
                <w:lang w:val="bg-BG"/>
              </w:rPr>
              <w:t>, на асоциации от организации на производители или на междубраншови организации, които се признават в съответствие с глава II, раздел II от Регламент (ЕС) № 1379/2013;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B03471">
              <w:rPr>
                <w:color w:val="0070C0"/>
                <w:lang w:val="bg-BG"/>
              </w:rPr>
              <w:t xml:space="preserve">б) </w:t>
            </w:r>
            <w:r w:rsidRPr="00B03471">
              <w:rPr>
                <w:b/>
                <w:color w:val="0070C0"/>
                <w:u w:val="single"/>
                <w:lang w:val="bg-BG"/>
              </w:rPr>
              <w:t>търсене на нови пазари</w:t>
            </w:r>
            <w:r w:rsidRPr="00B03471">
              <w:rPr>
                <w:color w:val="0070C0"/>
                <w:lang w:val="bg-BG"/>
              </w:rPr>
              <w:t xml:space="preserve"> и подобряване на условията за пускане на пазара на продукти от риболов и аквакултури, включително: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B03471">
              <w:rPr>
                <w:color w:val="0070C0"/>
                <w:lang w:val="bg-BG"/>
              </w:rPr>
              <w:t>i) видове с пазарен потенциал;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B03471">
              <w:rPr>
                <w:color w:val="0070C0"/>
                <w:lang w:val="bg-BG"/>
              </w:rPr>
              <w:t>ii) нежелан, разтоварван на сушата улов от запаси с търговско значение в съответствие с техническите мерки, член 15 от Регламент (ЕС) № 1380/2013 и член 8, параграф 2, буква б) от Регламент (ЕС) № 1379/2013;</w:t>
            </w:r>
          </w:p>
          <w:p w:rsidR="004526C8" w:rsidRDefault="00B03471" w:rsidP="00B03471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B03471">
              <w:rPr>
                <w:color w:val="0070C0"/>
                <w:lang w:val="bg-BG"/>
              </w:rPr>
              <w:t>iii) продукти от риболов и аквакултури, получени по методи със слабо въздействие върху околната среда, или продукти на биологичните аквакултури по смисъла на Регламент (ЕО) № 834/2007;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B03471">
              <w:rPr>
                <w:rFonts w:eastAsia="Times New Roman" w:cs="Times New Roman"/>
                <w:color w:val="0070C0"/>
                <w:lang w:val="bg-BG"/>
              </w:rPr>
              <w:t>в) повишаване на качеството и добавената стойност чрез улесняване на:</w:t>
            </w:r>
          </w:p>
          <w:p w:rsid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>
              <w:rPr>
                <w:rFonts w:eastAsia="Times New Roman" w:cs="Times New Roman"/>
                <w:color w:val="0070C0"/>
                <w:lang w:val="bg-BG"/>
              </w:rPr>
              <w:t>…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B03471">
              <w:rPr>
                <w:rFonts w:eastAsia="Times New Roman" w:cs="Times New Roman"/>
                <w:color w:val="0070C0"/>
                <w:lang w:val="bg-BG"/>
              </w:rPr>
              <w:t xml:space="preserve">iii) </w:t>
            </w:r>
            <w:r w:rsidRPr="00B03471">
              <w:rPr>
                <w:rFonts w:eastAsia="Times New Roman" w:cs="Times New Roman"/>
                <w:b/>
                <w:color w:val="0070C0"/>
                <w:u w:val="single"/>
                <w:lang w:val="bg-BG"/>
              </w:rPr>
              <w:t>прякото предлагане на пазара</w:t>
            </w:r>
            <w:r w:rsidRPr="00B03471">
              <w:rPr>
                <w:rFonts w:eastAsia="Times New Roman" w:cs="Times New Roman"/>
                <w:color w:val="0070C0"/>
                <w:lang w:val="bg-BG"/>
              </w:rPr>
              <w:t xml:space="preserve"> на продукти от риболов от </w:t>
            </w:r>
            <w:r w:rsidRPr="00B03471">
              <w:rPr>
                <w:rFonts w:eastAsia="Times New Roman" w:cs="Times New Roman"/>
                <w:color w:val="0070C0"/>
                <w:lang w:val="bg-BG"/>
              </w:rPr>
              <w:lastRenderedPageBreak/>
              <w:t>страна на дребномащабни крайбрежни рибари или на рибари, които ловят от брега;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B03471">
              <w:rPr>
                <w:rFonts w:eastAsia="Times New Roman" w:cs="Times New Roman"/>
                <w:color w:val="0070C0"/>
                <w:lang w:val="bg-BG"/>
              </w:rPr>
              <w:t>iv) представянето и опаковането на продукти;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B03471">
              <w:rPr>
                <w:rFonts w:eastAsia="Times New Roman" w:cs="Times New Roman"/>
                <w:color w:val="0070C0"/>
                <w:lang w:val="bg-BG"/>
              </w:rPr>
              <w:t xml:space="preserve">г) допринасяне за прозрачността на производството и на пазарите и </w:t>
            </w:r>
            <w:r w:rsidRPr="00B03471">
              <w:rPr>
                <w:rFonts w:eastAsia="Times New Roman" w:cs="Times New Roman"/>
                <w:b/>
                <w:color w:val="0070C0"/>
                <w:u w:val="single"/>
                <w:lang w:val="bg-BG"/>
              </w:rPr>
              <w:t>провеждане на пазарни проучвания</w:t>
            </w:r>
            <w:r w:rsidRPr="00B03471">
              <w:rPr>
                <w:rFonts w:eastAsia="Times New Roman" w:cs="Times New Roman"/>
                <w:color w:val="0070C0"/>
                <w:lang w:val="bg-BG"/>
              </w:rPr>
              <w:t xml:space="preserve"> и изследвания на зависимостта на Съюза от внос;</w:t>
            </w:r>
          </w:p>
          <w:p w:rsidR="00B03471" w:rsidRP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B03471">
              <w:rPr>
                <w:rFonts w:eastAsia="Times New Roman" w:cs="Times New Roman"/>
                <w:color w:val="0070C0"/>
                <w:lang w:val="bg-BG"/>
              </w:rPr>
              <w:t xml:space="preserve">д) спомагане за проследяемостта на продуктите от риболов или аквакултури и — когато е целесъобразно — разработване на </w:t>
            </w:r>
            <w:proofErr w:type="spellStart"/>
            <w:r w:rsidRPr="00B03471">
              <w:rPr>
                <w:rFonts w:eastAsia="Times New Roman" w:cs="Times New Roman"/>
                <w:color w:val="0070C0"/>
                <w:lang w:val="bg-BG"/>
              </w:rPr>
              <w:t>екомаркировка</w:t>
            </w:r>
            <w:proofErr w:type="spellEnd"/>
            <w:r w:rsidRPr="00B03471">
              <w:rPr>
                <w:rFonts w:eastAsia="Times New Roman" w:cs="Times New Roman"/>
                <w:color w:val="0070C0"/>
                <w:lang w:val="bg-BG"/>
              </w:rPr>
              <w:t xml:space="preserve"> за продукти от риболов и аквакултури, валидна за целия Съюз, както е посочено в Регламент (ЕС) № 1379/2013;</w:t>
            </w:r>
          </w:p>
          <w:p w:rsidR="00B03471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>
              <w:rPr>
                <w:rFonts w:eastAsia="Times New Roman" w:cs="Times New Roman"/>
                <w:color w:val="0070C0"/>
                <w:lang w:val="bg-BG"/>
              </w:rPr>
              <w:t>…</w:t>
            </w:r>
          </w:p>
          <w:p w:rsidR="00B03471" w:rsidRPr="00D93636" w:rsidRDefault="00B03471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B03471">
              <w:rPr>
                <w:rFonts w:eastAsia="Times New Roman" w:cs="Times New Roman"/>
                <w:color w:val="0070C0"/>
                <w:lang w:val="bg-BG"/>
              </w:rPr>
              <w:t>ж) провеждане на регионални, национални или транснационални информационни и рекламни кампании за повишаване на осведомеността на обществото за продуктите на устойчивия риболов и аквакултури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Default="004526C8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lastRenderedPageBreak/>
              <w:t>Направени са допълнения и уточнения към разпоредбите на члена, к</w:t>
            </w:r>
            <w:r w:rsidR="00B03471">
              <w:rPr>
                <w:color w:val="0070C0"/>
                <w:lang w:val="bg-BG"/>
              </w:rPr>
              <w:t>акто и към допустимите дейности основно :</w:t>
            </w:r>
          </w:p>
          <w:p w:rsidR="00B03471" w:rsidRDefault="00B03471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>
              <w:rPr>
                <w:color w:val="0070C0"/>
                <w:lang w:val="bg-BG"/>
              </w:rPr>
              <w:t xml:space="preserve">1. </w:t>
            </w:r>
            <w:r w:rsidRPr="005E5CA0">
              <w:rPr>
                <w:color w:val="FF0000"/>
                <w:lang w:val="bg-BG"/>
              </w:rPr>
              <w:t xml:space="preserve">Търсене на нови пазари </w:t>
            </w:r>
            <w:r>
              <w:rPr>
                <w:color w:val="0070C0"/>
              </w:rPr>
              <w:t>(</w:t>
            </w:r>
            <w:r>
              <w:rPr>
                <w:color w:val="0070C0"/>
                <w:lang w:val="bg-BG"/>
              </w:rPr>
              <w:t>търговски мисии, участие в изложения</w:t>
            </w:r>
            <w:r>
              <w:rPr>
                <w:color w:val="0070C0"/>
              </w:rPr>
              <w:t>)</w:t>
            </w:r>
          </w:p>
          <w:p w:rsidR="00B03471" w:rsidRPr="00B03471" w:rsidRDefault="00B03471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  <w:r>
              <w:rPr>
                <w:color w:val="0070C0"/>
                <w:lang w:val="bg-BG"/>
              </w:rPr>
              <w:t xml:space="preserve">2. Създаване на условия за </w:t>
            </w:r>
            <w:r w:rsidRPr="005E5CA0">
              <w:rPr>
                <w:color w:val="FF0000"/>
                <w:lang w:val="bg-BG"/>
              </w:rPr>
              <w:t>пряко предлагане</w:t>
            </w:r>
            <w:r>
              <w:rPr>
                <w:color w:val="0070C0"/>
                <w:lang w:val="bg-BG"/>
              </w:rPr>
              <w:t xml:space="preserve"> на пазара от </w:t>
            </w:r>
            <w:r w:rsidRPr="00B03471">
              <w:rPr>
                <w:rFonts w:eastAsia="Times New Roman" w:cs="Times New Roman"/>
                <w:color w:val="0070C0"/>
                <w:lang w:val="bg-BG"/>
              </w:rPr>
              <w:t>страна на дребномащабни крайбрежни рибари</w:t>
            </w:r>
          </w:p>
          <w:p w:rsidR="00B03471" w:rsidRPr="00B03471" w:rsidRDefault="00B03471" w:rsidP="00D93636">
            <w:pPr>
              <w:spacing w:before="60" w:after="60"/>
              <w:jc w:val="both"/>
              <w:rPr>
                <w:color w:val="0070C0"/>
                <w:lang w:val="bg-BG"/>
              </w:rPr>
            </w:pPr>
          </w:p>
          <w:p w:rsidR="004526C8" w:rsidRPr="00D93636" w:rsidRDefault="004526C8" w:rsidP="00B03471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  <w:tr w:rsidR="007E1CF9" w:rsidRPr="00D93636" w:rsidTr="007E1CF9"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Pr="00D93636" w:rsidRDefault="004526C8" w:rsidP="00D93636">
            <w:pPr>
              <w:spacing w:before="60" w:after="60"/>
              <w:jc w:val="both"/>
              <w:rPr>
                <w:rFonts w:eastAsia="Times New Roman"/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lastRenderedPageBreak/>
              <w:t>Мярка „Преработване на продуктите на риболова и аквакултурите“</w:t>
            </w: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</w:p>
          <w:p w:rsidR="004526C8" w:rsidRPr="00D93636" w:rsidRDefault="004526C8" w:rsidP="00D93636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D93636">
              <w:rPr>
                <w:b/>
                <w:color w:val="0070C0"/>
                <w:lang w:val="bg-BG"/>
              </w:rPr>
              <w:t>Чл.72 Преработване на продуктите на риболова и аквакултурите</w:t>
            </w:r>
          </w:p>
          <w:p w:rsidR="004526C8" w:rsidRPr="00794E12" w:rsidRDefault="004526C8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Подпомага на инвестиции в преработването на продукти на риболова и аквакултурите, които:</w:t>
            </w:r>
          </w:p>
          <w:p w:rsidR="004526C8" w:rsidRPr="00D93636" w:rsidRDefault="004526C8" w:rsidP="00D93636">
            <w:pPr>
              <w:numPr>
                <w:ilvl w:val="0"/>
                <w:numId w:val="13"/>
              </w:num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допринасят за реализирането на икономии на енергия или намаляване на въздействието върху околната среда, включително третирането на отпадъци;</w:t>
            </w:r>
          </w:p>
          <w:p w:rsidR="004526C8" w:rsidRPr="00D93636" w:rsidRDefault="004526C8" w:rsidP="00D93636">
            <w:pPr>
              <w:numPr>
                <w:ilvl w:val="0"/>
                <w:numId w:val="13"/>
              </w:num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 xml:space="preserve">са предназначени за преработването на </w:t>
            </w:r>
            <w:proofErr w:type="spellStart"/>
            <w:r w:rsidRPr="00D93636">
              <w:rPr>
                <w:color w:val="0070C0"/>
                <w:lang w:val="bg-BG"/>
              </w:rPr>
              <w:lastRenderedPageBreak/>
              <w:t>свръхпроизвеждани</w:t>
            </w:r>
            <w:proofErr w:type="spellEnd"/>
            <w:r w:rsidRPr="00D93636">
              <w:rPr>
                <w:color w:val="0070C0"/>
                <w:lang w:val="bg-BG"/>
              </w:rPr>
              <w:t xml:space="preserve"> или </w:t>
            </w:r>
            <w:proofErr w:type="spellStart"/>
            <w:r w:rsidRPr="00D93636">
              <w:rPr>
                <w:color w:val="0070C0"/>
                <w:lang w:val="bg-BG"/>
              </w:rPr>
              <w:t>слабоексплоатирани</w:t>
            </w:r>
            <w:proofErr w:type="spellEnd"/>
            <w:r w:rsidRPr="00D93636">
              <w:rPr>
                <w:color w:val="0070C0"/>
                <w:lang w:val="bg-BG"/>
              </w:rPr>
              <w:t xml:space="preserve"> видове; </w:t>
            </w:r>
          </w:p>
          <w:p w:rsidR="004526C8" w:rsidRPr="00D93636" w:rsidRDefault="004526C8" w:rsidP="00D93636">
            <w:pPr>
              <w:numPr>
                <w:ilvl w:val="0"/>
                <w:numId w:val="13"/>
              </w:numPr>
              <w:spacing w:before="60" w:after="60"/>
              <w:jc w:val="both"/>
              <w:rPr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са предназначени за преработването на странични продукти, които се получават в резултат на основни дейности от преработването;</w:t>
            </w:r>
          </w:p>
          <w:p w:rsidR="004526C8" w:rsidRPr="00D93636" w:rsidRDefault="004526C8" w:rsidP="00D93636">
            <w:pPr>
              <w:numPr>
                <w:ilvl w:val="0"/>
                <w:numId w:val="13"/>
              </w:num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D93636">
              <w:rPr>
                <w:color w:val="0070C0"/>
                <w:lang w:val="bg-BG"/>
              </w:rPr>
              <w:t>са предназначени за преработването на продукти на биологичните аквакултури, които водят до нови или подобрени продукти, нови или подобрени процеси или нови или подобрени системи на управление и организация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2" w:rsidRPr="00794E12" w:rsidRDefault="00794E12" w:rsidP="00794E12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794E12">
              <w:rPr>
                <w:b/>
                <w:color w:val="0070C0"/>
                <w:lang w:val="bg-BG"/>
              </w:rPr>
              <w:lastRenderedPageBreak/>
              <w:t>Член 69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b/>
                <w:color w:val="0070C0"/>
                <w:lang w:val="bg-BG"/>
              </w:rPr>
            </w:pPr>
            <w:r w:rsidRPr="00794E12">
              <w:rPr>
                <w:b/>
                <w:color w:val="0070C0"/>
                <w:lang w:val="bg-BG"/>
              </w:rPr>
              <w:t>Преработване на продуктите от риболов и аквакултури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1. ЕФМДР може да подпомага инвестиции в преработването на продукти от риболов и аквакултури, когато тези инвестиции: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а) допринасят за реализирането на икономии на енергия или намаляване на въздействието върху околната среда, включително третирането на отпадъци;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б) подобряват безопасността, хигиената, здравето и условията на труд;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в) подпомагат преработването на улов на риба от видове с търговско значение, който не може да бъде предназначен за консумация от човека;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lastRenderedPageBreak/>
              <w:t>г) са свързани с преработването на странични продукти, които се получават в резултат на основни дейности от преработването;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д) са свързани с преработването на продукти на биологичните аквакултури съгласно членове 6 и 7 от Регламент (ЕО) № 834/2007;</w:t>
            </w:r>
          </w:p>
          <w:p w:rsidR="00794E12" w:rsidRPr="00794E12" w:rsidRDefault="00794E12" w:rsidP="00794E12">
            <w:pPr>
              <w:spacing w:before="60" w:after="60"/>
              <w:jc w:val="both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е) водят до нови или подобрени продукти, нови или подобрени процеси или нови или подобрени управленски и организационни системи.</w:t>
            </w:r>
          </w:p>
          <w:p w:rsidR="004526C8" w:rsidRPr="00D93636" w:rsidRDefault="00794E12" w:rsidP="00794E12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2. По отношение на предприятията, различни от МСП, посоченото в параграф 1 подпомагане се отпуска единствено чрез финансовите инструменти, предвидени във втора част, дял IV от Регламент (ЕС) № 1303/2013.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C8" w:rsidRPr="00D93636" w:rsidRDefault="005E5CA0" w:rsidP="00D93636">
            <w:pPr>
              <w:spacing w:before="60" w:after="60"/>
              <w:rPr>
                <w:color w:val="0070C0"/>
                <w:lang w:val="bg-BG"/>
              </w:rPr>
            </w:pPr>
            <w:r w:rsidRPr="005E5CA0">
              <w:rPr>
                <w:b/>
                <w:color w:val="0070C0"/>
                <w:u w:val="single"/>
                <w:lang w:val="bg-BG"/>
              </w:rPr>
              <w:lastRenderedPageBreak/>
              <w:t>Добавени са нови допустими дейности</w:t>
            </w:r>
            <w:r>
              <w:rPr>
                <w:color w:val="0070C0"/>
                <w:lang w:val="bg-BG"/>
              </w:rPr>
              <w:t xml:space="preserve">: </w:t>
            </w:r>
          </w:p>
          <w:p w:rsidR="004526C8" w:rsidRDefault="00794E12" w:rsidP="00D93636">
            <w:pPr>
              <w:spacing w:before="60" w:after="60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б) подобряват безопасността, хигиената, здравето и условията на труд</w:t>
            </w:r>
          </w:p>
          <w:p w:rsidR="00794E12" w:rsidRDefault="00794E12" w:rsidP="00D93636">
            <w:pPr>
              <w:spacing w:before="60" w:after="60"/>
              <w:rPr>
                <w:color w:val="0070C0"/>
                <w:lang w:val="bg-BG"/>
              </w:rPr>
            </w:pPr>
            <w:r w:rsidRPr="00794E12">
              <w:rPr>
                <w:color w:val="0070C0"/>
                <w:lang w:val="bg-BG"/>
              </w:rPr>
              <w:t>в) подпомагат преработването на улов на риба от видове с търговско значение, който не може да бъде предназначен за консумация от човека</w:t>
            </w:r>
          </w:p>
          <w:p w:rsidR="00794E12" w:rsidRDefault="00732B35" w:rsidP="00D93636">
            <w:pPr>
              <w:spacing w:before="60" w:after="60"/>
              <w:rPr>
                <w:color w:val="0070C0"/>
                <w:lang w:val="bg-BG"/>
              </w:rPr>
            </w:pPr>
            <w:r w:rsidRPr="005E5CA0">
              <w:rPr>
                <w:b/>
                <w:color w:val="0070C0"/>
                <w:u w:val="single"/>
                <w:lang w:val="bg-BG"/>
              </w:rPr>
              <w:t>Въведено е изискване</w:t>
            </w:r>
            <w:r>
              <w:rPr>
                <w:color w:val="0070C0"/>
                <w:lang w:val="bg-BG"/>
              </w:rPr>
              <w:t>:</w:t>
            </w:r>
          </w:p>
          <w:p w:rsidR="00732B35" w:rsidRDefault="00732B35" w:rsidP="00D93636">
            <w:pPr>
              <w:spacing w:before="60" w:after="60"/>
              <w:rPr>
                <w:color w:val="0070C0"/>
                <w:lang w:val="bg-BG"/>
              </w:rPr>
            </w:pPr>
            <w:r>
              <w:rPr>
                <w:color w:val="0070C0"/>
                <w:lang w:val="bg-BG"/>
              </w:rPr>
              <w:t>За п</w:t>
            </w:r>
            <w:r w:rsidRPr="00794E12">
              <w:rPr>
                <w:color w:val="0070C0"/>
                <w:lang w:val="bg-BG"/>
              </w:rPr>
              <w:t xml:space="preserve">редприятията, </w:t>
            </w:r>
            <w:r w:rsidRPr="005E5CA0">
              <w:rPr>
                <w:color w:val="FF0000"/>
                <w:lang w:val="bg-BG"/>
              </w:rPr>
              <w:t>различни от МСП</w:t>
            </w:r>
            <w:r w:rsidRPr="00794E12">
              <w:rPr>
                <w:color w:val="0070C0"/>
                <w:lang w:val="bg-BG"/>
              </w:rPr>
              <w:t xml:space="preserve">, подпомагане се отпуска единствено чрез </w:t>
            </w:r>
            <w:r w:rsidRPr="005E5CA0">
              <w:rPr>
                <w:color w:val="FF0000"/>
                <w:lang w:val="bg-BG"/>
              </w:rPr>
              <w:t>финансовите инструменти</w:t>
            </w:r>
          </w:p>
          <w:p w:rsidR="004526C8" w:rsidRPr="00D93636" w:rsidRDefault="004526C8" w:rsidP="00732B35">
            <w:pPr>
              <w:spacing w:before="60" w:after="60"/>
              <w:jc w:val="both"/>
              <w:rPr>
                <w:rFonts w:eastAsia="Times New Roman" w:cs="Times New Roman"/>
                <w:color w:val="0070C0"/>
                <w:lang w:val="bg-BG"/>
              </w:rPr>
            </w:pPr>
          </w:p>
        </w:tc>
      </w:tr>
    </w:tbl>
    <w:p w:rsidR="00090C85" w:rsidRDefault="00090C85" w:rsidP="007C591E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C9643B" w:rsidRDefault="00C9643B" w:rsidP="007C591E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C9643B" w:rsidRDefault="00C9643B" w:rsidP="007C591E">
      <w:pPr>
        <w:rPr>
          <w:rFonts w:ascii="Calibri" w:hAnsi="Calibri" w:cs="Times New Roman"/>
          <w:color w:val="1F497D"/>
          <w:u w:val="single"/>
          <w:lang w:eastAsia="bg-BG"/>
        </w:rPr>
        <w:sectPr w:rsidR="00C9643B" w:rsidSect="007E1CF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9643B" w:rsidRDefault="00C9643B" w:rsidP="007C591E">
      <w:pPr>
        <w:rPr>
          <w:rFonts w:ascii="Calibri" w:hAnsi="Calibri" w:cs="Times New Roman"/>
          <w:color w:val="1F497D"/>
          <w:u w:val="single"/>
          <w:lang w:eastAsia="bg-BG"/>
        </w:rPr>
      </w:pPr>
    </w:p>
    <w:p w:rsidR="005B25E1" w:rsidRPr="00155153" w:rsidRDefault="00090C85" w:rsidP="00090C85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Прилагането на и</w:t>
      </w:r>
      <w:r w:rsidR="005B25E1"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нтегрирана морска политика </w:t>
      </w: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е задължително</w:t>
      </w:r>
    </w:p>
    <w:p w:rsidR="00090C85" w:rsidRPr="00090C85" w:rsidRDefault="00090C85" w:rsidP="00090C85">
      <w:pPr>
        <w:pStyle w:val="ListParagraph"/>
        <w:rPr>
          <w:rFonts w:ascii="Calibri" w:hAnsi="Calibri" w:cs="Times New Roman"/>
          <w:b/>
          <w:smallCaps/>
          <w:lang w:eastAsia="bg-BG"/>
        </w:rPr>
      </w:pPr>
    </w:p>
    <w:p w:rsidR="00090C85" w:rsidRPr="00090C85" w:rsidRDefault="00090C85" w:rsidP="00090C85">
      <w:pPr>
        <w:pStyle w:val="ListParagraph"/>
        <w:rPr>
          <w:rFonts w:ascii="Calibri" w:hAnsi="Calibri" w:cs="Times New Roman"/>
          <w:b/>
          <w:smallCaps/>
          <w:lang w:eastAsia="bg-BG"/>
        </w:rPr>
      </w:pPr>
    </w:p>
    <w:p w:rsidR="00090C85" w:rsidRPr="00155153" w:rsidRDefault="00090C85" w:rsidP="00090C85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Кои членове </w:t>
      </w:r>
      <w:r w:rsidR="008F2217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предлагаме да се </w:t>
      </w:r>
      <w:r w:rsid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прилага</w:t>
      </w:r>
      <w:r w:rsidR="008F2217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т по </w:t>
      </w:r>
      <w:r w:rsidR="00CD002A">
        <w:rPr>
          <w:rFonts w:ascii="Calibri" w:hAnsi="Calibri" w:cs="Times New Roman"/>
          <w:b/>
          <w:smallCaps/>
          <w:sz w:val="28"/>
          <w:szCs w:val="28"/>
          <w:lang w:eastAsia="bg-BG"/>
        </w:rPr>
        <w:t>ПМДР</w:t>
      </w:r>
      <w:r w:rsidR="008F2217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 2014-2020</w:t>
      </w:r>
      <w:r w:rsid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 </w:t>
      </w:r>
    </w:p>
    <w:p w:rsidR="005B25E1" w:rsidRDefault="005B25E1" w:rsidP="005B25E1"/>
    <w:tbl>
      <w:tblPr>
        <w:tblW w:w="879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40"/>
        <w:gridCol w:w="7988"/>
      </w:tblGrid>
      <w:tr w:rsidR="00CD002A" w:rsidRPr="008F2217" w:rsidTr="00C9643B">
        <w:trPr>
          <w:trHeight w:val="481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№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Чл.</w:t>
            </w:r>
          </w:p>
        </w:tc>
        <w:tc>
          <w:tcPr>
            <w:tcW w:w="7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ПРИОРИТЕТ/МЯРКА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Насърчаване на устойчиво в екологично отношение, иновативно, конкурентоспособно и основано на знания рибарство, характеризиращо се с ефективно използване на ресурсите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30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Диверсификация и нови форми на доход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32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Здраве и безопасност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34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Окончателно преустановяване на риболовните дейности</w:t>
            </w:r>
          </w:p>
        </w:tc>
      </w:tr>
      <w:tr w:rsidR="00CD002A" w:rsidRPr="008F2217" w:rsidTr="008F2217">
        <w:trPr>
          <w:trHeight w:val="6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38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Ограничаване на въздействието на риболова върху морската среда и за адаптиране на риболова към защита на видовете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39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Иновации, свързани с опазването на морските биологични ресурси</w:t>
            </w:r>
          </w:p>
        </w:tc>
      </w:tr>
      <w:tr w:rsidR="00CD002A" w:rsidRPr="008F2217" w:rsidTr="008F2217">
        <w:trPr>
          <w:trHeight w:val="526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      </w:r>
          </w:p>
        </w:tc>
      </w:tr>
      <w:tr w:rsidR="00CD002A" w:rsidRPr="008F2217" w:rsidTr="008F2217">
        <w:trPr>
          <w:trHeight w:val="184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42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Добавена стойност, качество на продуктите и използване на нежелания улов</w:t>
            </w:r>
          </w:p>
        </w:tc>
      </w:tr>
      <w:tr w:rsidR="00CD002A" w:rsidRPr="008F2217" w:rsidTr="008F2217">
        <w:trPr>
          <w:trHeight w:val="6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43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Рибарски пристанища, кейове за разтоварване, рибни борси и покрити лодкостоянки</w:t>
            </w:r>
          </w:p>
        </w:tc>
      </w:tr>
      <w:tr w:rsidR="00CD002A" w:rsidRPr="008F2217" w:rsidTr="008F2217">
        <w:trPr>
          <w:trHeight w:val="78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44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Риболов във вътрешни водоеми и водна флора и фауна във вътрешни водоеми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Насърчаване на устойчиви в екологично отношение, иновативни, конкурентоспособни и основани на знания аквакултури, характеризиращи се с ефективно използване на ресурсите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47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Иновации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48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Продуктивни инвестиции в аквакултура</w:t>
            </w:r>
          </w:p>
        </w:tc>
      </w:tr>
      <w:tr w:rsidR="00CD002A" w:rsidRPr="008F2217" w:rsidTr="008F2217">
        <w:trPr>
          <w:trHeight w:val="6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52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Насърчаване на нови производители на аквакултури, развиващи устойчиви аквакултури</w:t>
            </w:r>
          </w:p>
        </w:tc>
      </w:tr>
      <w:tr w:rsidR="00CD002A" w:rsidRPr="008F2217" w:rsidTr="008F2217">
        <w:trPr>
          <w:trHeight w:val="6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53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 xml:space="preserve">Преминаване към схеми по управление на околната среда и </w:t>
            </w:r>
            <w:proofErr w:type="spellStart"/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одитиране</w:t>
            </w:r>
            <w:proofErr w:type="spellEnd"/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 xml:space="preserve"> и към биологични аквакултури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54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Аквакултури, осигуряващи екологични услуги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Насърчаване на изпълнението на ОПОР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76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Контрол и изпълнение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77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Събиране на данни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 xml:space="preserve">Повишаване на заетостта и териториалното сближаване </w:t>
            </w:r>
          </w:p>
        </w:tc>
      </w:tr>
      <w:tr w:rsidR="00CD002A" w:rsidRPr="008F2217" w:rsidTr="00CD002A">
        <w:trPr>
          <w:trHeight w:val="174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62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Подпомагане от ЕФМДР за стратегиите за водено от общностите местно развитие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63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Изпълнение на стратегиите за водено от общностите местно развитие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Насърчаване на предлагането на пазара и преработването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68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Мерки за предлагане на пазара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69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Преработване на продуктите от риболов и аквакултури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>Насърчаване на изпълнението на ИМП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79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Интегрирана морска политика</w:t>
            </w:r>
          </w:p>
        </w:tc>
      </w:tr>
      <w:tr w:rsidR="00CD002A" w:rsidRPr="008F2217" w:rsidTr="008F2217">
        <w:trPr>
          <w:trHeight w:val="300"/>
        </w:trPr>
        <w:tc>
          <w:tcPr>
            <w:tcW w:w="87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b/>
                <w:bCs/>
                <w:color w:val="0070C0"/>
                <w:lang w:eastAsia="bg-BG"/>
              </w:rPr>
              <w:t xml:space="preserve">Техническа помощ </w:t>
            </w:r>
          </w:p>
        </w:tc>
      </w:tr>
      <w:tr w:rsidR="00CD002A" w:rsidRPr="008F2217" w:rsidTr="008F2217">
        <w:trPr>
          <w:trHeight w:val="3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7" w:rsidRPr="008F2217" w:rsidRDefault="008F2217" w:rsidP="008F2217">
            <w:pPr>
              <w:jc w:val="center"/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78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17" w:rsidRPr="008F2217" w:rsidRDefault="008F2217" w:rsidP="008F2217">
            <w:pPr>
              <w:rPr>
                <w:rFonts w:ascii="Calibri" w:eastAsia="Times New Roman" w:hAnsi="Calibri" w:cs="Times New Roman"/>
                <w:color w:val="0070C0"/>
                <w:lang w:eastAsia="bg-BG"/>
              </w:rPr>
            </w:pPr>
            <w:r w:rsidRPr="008F2217">
              <w:rPr>
                <w:rFonts w:ascii="Calibri" w:eastAsia="Times New Roman" w:hAnsi="Calibri" w:cs="Times New Roman"/>
                <w:color w:val="0070C0"/>
                <w:lang w:eastAsia="bg-BG"/>
              </w:rPr>
              <w:t>Техническа помощ по инициатива на държавите-членки</w:t>
            </w:r>
          </w:p>
        </w:tc>
      </w:tr>
    </w:tbl>
    <w:p w:rsidR="008F2217" w:rsidRDefault="008F2217" w:rsidP="005B25E1"/>
    <w:p w:rsidR="008F2217" w:rsidRPr="00777B6C" w:rsidRDefault="00431CA2" w:rsidP="00777B6C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777B6C">
        <w:rPr>
          <w:rFonts w:ascii="Calibri" w:hAnsi="Calibri" w:cs="Times New Roman"/>
          <w:b/>
          <w:smallCaps/>
          <w:sz w:val="28"/>
          <w:szCs w:val="28"/>
          <w:lang w:eastAsia="bg-BG"/>
        </w:rPr>
        <w:lastRenderedPageBreak/>
        <w:t xml:space="preserve">Кои </w:t>
      </w:r>
      <w:r w:rsidR="00777B6C" w:rsidRPr="00777B6C">
        <w:rPr>
          <w:rFonts w:ascii="Calibri" w:hAnsi="Calibri" w:cs="Times New Roman"/>
          <w:b/>
          <w:smallCaps/>
          <w:sz w:val="28"/>
          <w:szCs w:val="28"/>
          <w:lang w:eastAsia="bg-BG"/>
        </w:rPr>
        <w:t>членове</w:t>
      </w:r>
      <w:r w:rsidRPr="00777B6C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 предлагаме да отпаднат</w:t>
      </w:r>
      <w:r w:rsidR="00777B6C" w:rsidRPr="00777B6C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 в сравнение с предходния вариант на ПМДР</w:t>
      </w:r>
    </w:p>
    <w:p w:rsidR="00431CA2" w:rsidRPr="00431CA2" w:rsidRDefault="00431CA2"/>
    <w:p w:rsidR="008F2217" w:rsidRPr="00055014" w:rsidRDefault="00777B6C" w:rsidP="00777B6C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Член 26 Иновации</w:t>
      </w:r>
      <w:r w:rsidR="00A72C76" w:rsidRPr="00055014">
        <w:rPr>
          <w:rFonts w:ascii="Calibri" w:hAnsi="Calibri" w:cs="Times New Roman"/>
          <w:color w:val="0070C0"/>
          <w:lang w:eastAsia="bg-BG"/>
        </w:rPr>
        <w:t xml:space="preserve"> </w:t>
      </w:r>
      <w:r w:rsidR="00A72C76" w:rsidRPr="00055014">
        <w:rPr>
          <w:rFonts w:ascii="Calibri" w:hAnsi="Calibri" w:cs="Times New Roman"/>
          <w:color w:val="0070C0"/>
          <w:lang w:val="en-US" w:eastAsia="bg-BG"/>
        </w:rPr>
        <w:t>(</w:t>
      </w:r>
      <w:r w:rsidR="00A72C76" w:rsidRPr="00055014">
        <w:rPr>
          <w:rFonts w:ascii="Calibri" w:hAnsi="Calibri" w:cs="Times New Roman"/>
          <w:color w:val="0070C0"/>
          <w:lang w:eastAsia="bg-BG"/>
        </w:rPr>
        <w:t>от Глава Рибарство – покрива се от чл.39</w:t>
      </w:r>
      <w:r w:rsidR="00A72C76" w:rsidRPr="00055014">
        <w:rPr>
          <w:rFonts w:ascii="Calibri" w:eastAsia="Times New Roman" w:hAnsi="Calibri" w:cs="Times New Roman"/>
          <w:color w:val="0070C0"/>
          <w:lang w:eastAsia="bg-BG"/>
        </w:rPr>
        <w:t xml:space="preserve"> Иновации, свързани с опазването на морските биологични ресурси</w:t>
      </w:r>
      <w:r w:rsidR="00A72C76" w:rsidRPr="00055014">
        <w:rPr>
          <w:rFonts w:ascii="Calibri" w:hAnsi="Calibri" w:cs="Times New Roman"/>
          <w:color w:val="0070C0"/>
          <w:lang w:val="en-US" w:eastAsia="bg-BG"/>
        </w:rPr>
        <w:t>)</w:t>
      </w:r>
    </w:p>
    <w:p w:rsidR="00777B6C" w:rsidRPr="00055014" w:rsidRDefault="00777B6C" w:rsidP="00777B6C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Член 41 Енергийна ефективност и смекчаване на въздействието от изменението на климата</w:t>
      </w:r>
      <w:r w:rsidR="00A72C76" w:rsidRPr="00055014">
        <w:rPr>
          <w:rFonts w:ascii="Calibri" w:hAnsi="Calibri" w:cs="Times New Roman"/>
          <w:color w:val="0070C0"/>
          <w:lang w:eastAsia="bg-BG"/>
        </w:rPr>
        <w:t xml:space="preserve"> </w:t>
      </w:r>
      <w:r w:rsidR="00A72C76" w:rsidRPr="00055014">
        <w:rPr>
          <w:rFonts w:ascii="Calibri" w:hAnsi="Calibri" w:cs="Times New Roman"/>
          <w:color w:val="0070C0"/>
          <w:lang w:val="en-US" w:eastAsia="bg-BG"/>
        </w:rPr>
        <w:t>(</w:t>
      </w:r>
      <w:r w:rsidR="00A72C76" w:rsidRPr="00055014">
        <w:rPr>
          <w:rFonts w:ascii="Calibri" w:hAnsi="Calibri" w:cs="Times New Roman"/>
          <w:color w:val="0070C0"/>
          <w:lang w:eastAsia="bg-BG"/>
        </w:rPr>
        <w:t>от Глава Рибарство</w:t>
      </w:r>
      <w:r w:rsidR="00A72C76" w:rsidRPr="00055014">
        <w:rPr>
          <w:rFonts w:ascii="Calibri" w:hAnsi="Calibri" w:cs="Times New Roman"/>
          <w:color w:val="0070C0"/>
          <w:lang w:val="en-US" w:eastAsia="bg-BG"/>
        </w:rPr>
        <w:t>)</w:t>
      </w:r>
    </w:p>
    <w:p w:rsidR="00777B6C" w:rsidRPr="00055014" w:rsidRDefault="00777B6C" w:rsidP="00777B6C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Член 57 Застраховане на запасите от аквакултури</w:t>
      </w:r>
    </w:p>
    <w:p w:rsidR="00777B6C" w:rsidRPr="00055014" w:rsidRDefault="00777B6C" w:rsidP="00777B6C">
      <w:pPr>
        <w:pStyle w:val="ListParagraph"/>
        <w:numPr>
          <w:ilvl w:val="0"/>
          <w:numId w:val="11"/>
        </w:numPr>
        <w:rPr>
          <w:rFonts w:ascii="Calibri" w:hAnsi="Calibri" w:cs="Times New Roman"/>
          <w:color w:val="0070C0"/>
          <w:lang w:eastAsia="bg-BG"/>
        </w:rPr>
      </w:pPr>
      <w:r w:rsidRPr="00055014">
        <w:rPr>
          <w:rFonts w:ascii="Calibri" w:hAnsi="Calibri" w:cs="Times New Roman"/>
          <w:color w:val="0070C0"/>
          <w:lang w:eastAsia="bg-BG"/>
        </w:rPr>
        <w:t>Член 66 Планове за производство и предлагане на пазара</w:t>
      </w:r>
    </w:p>
    <w:p w:rsidR="00777B6C" w:rsidRPr="00055014" w:rsidRDefault="00777B6C" w:rsidP="00777B6C">
      <w:pPr>
        <w:rPr>
          <w:color w:val="0070C0"/>
        </w:rPr>
      </w:pPr>
      <w:bookmarkStart w:id="0" w:name="_GoBack"/>
      <w:bookmarkEnd w:id="0"/>
    </w:p>
    <w:p w:rsidR="007C591E" w:rsidRDefault="007C591E" w:rsidP="00155153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Нови надбавки към </w:t>
      </w:r>
      <w:r w:rsidR="008F2217">
        <w:rPr>
          <w:rFonts w:ascii="Calibri" w:hAnsi="Calibri" w:cs="Times New Roman"/>
          <w:b/>
          <w:smallCaps/>
          <w:sz w:val="28"/>
          <w:szCs w:val="28"/>
          <w:lang w:eastAsia="bg-BG"/>
        </w:rPr>
        <w:t>интензитета на помощта</w:t>
      </w:r>
    </w:p>
    <w:p w:rsidR="00777B6C" w:rsidRPr="00155153" w:rsidRDefault="00777B6C" w:rsidP="00777B6C">
      <w:pPr>
        <w:pStyle w:val="ListParagraph"/>
        <w:rPr>
          <w:rFonts w:ascii="Calibri" w:hAnsi="Calibri" w:cs="Times New Roman"/>
          <w:b/>
          <w:smallCaps/>
          <w:sz w:val="28"/>
          <w:szCs w:val="28"/>
          <w:lang w:eastAsia="bg-BG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E07CFD" w:rsidRPr="005C5711" w:rsidTr="00E07CFD"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8B0053" w:rsidRPr="005C5711" w:rsidRDefault="008B0053" w:rsidP="00E07CFD">
            <w:pPr>
              <w:spacing w:before="60" w:after="60"/>
              <w:jc w:val="center"/>
              <w:rPr>
                <w:rFonts w:eastAsia="Times New Roman" w:cs="Times New Roman"/>
                <w:b/>
                <w:color w:val="0070C0"/>
                <w:lang w:val="bg-BG"/>
              </w:rPr>
            </w:pPr>
            <w:r w:rsidRPr="005C5711">
              <w:rPr>
                <w:b/>
                <w:color w:val="0070C0"/>
                <w:lang w:val="bg-BG"/>
              </w:rPr>
              <w:t>Общ подход на Съвета по предложението за Регламент относно ЕФМДР, 15 юли 2013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8B0053" w:rsidRPr="005C5711" w:rsidRDefault="008B0053" w:rsidP="00E07CFD">
            <w:pPr>
              <w:spacing w:before="60" w:after="60"/>
              <w:jc w:val="center"/>
              <w:rPr>
                <w:rFonts w:eastAsia="Times New Roman" w:cs="Times New Roman"/>
                <w:b/>
                <w:color w:val="0070C0"/>
                <w:lang w:val="bg-BG"/>
              </w:rPr>
            </w:pPr>
            <w:r w:rsidRPr="005C5711">
              <w:rPr>
                <w:b/>
                <w:color w:val="0070C0"/>
                <w:lang w:val="bg-BG"/>
              </w:rPr>
              <w:t>Регламент 508/2014 относно ЕФМДР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8B0053" w:rsidRPr="005C5711" w:rsidRDefault="008B0053" w:rsidP="00E07CFD">
            <w:pPr>
              <w:spacing w:before="60" w:after="60"/>
              <w:jc w:val="center"/>
              <w:rPr>
                <w:rFonts w:eastAsia="Times New Roman" w:cs="Times New Roman"/>
                <w:b/>
                <w:color w:val="0070C0"/>
                <w:lang w:val="bg-BG"/>
              </w:rPr>
            </w:pPr>
            <w:r w:rsidRPr="005C5711">
              <w:rPr>
                <w:b/>
                <w:color w:val="0070C0"/>
                <w:lang w:val="bg-BG"/>
              </w:rPr>
              <w:t>Промяна</w:t>
            </w:r>
          </w:p>
        </w:tc>
      </w:tr>
      <w:tr w:rsidR="00E07CFD" w:rsidRPr="005C5711" w:rsidTr="008B0053">
        <w:tc>
          <w:tcPr>
            <w:tcW w:w="2856" w:type="dxa"/>
          </w:tcPr>
          <w:p w:rsidR="008B0053" w:rsidRPr="005C5711" w:rsidRDefault="008B0053" w:rsidP="00E07CFD">
            <w:pPr>
              <w:pStyle w:val="ListParagraph"/>
              <w:ind w:left="-11" w:firstLine="11"/>
              <w:rPr>
                <w:rFonts w:cs="EUAlbertina"/>
                <w:color w:val="0070C0"/>
                <w:lang w:val="bg-BG"/>
              </w:rPr>
            </w:pPr>
            <w:r w:rsidRPr="005C5711">
              <w:rPr>
                <w:rFonts w:cs="EUAlbertina"/>
                <w:color w:val="0070C0"/>
                <w:lang w:val="bg-BG"/>
              </w:rPr>
              <w:t xml:space="preserve">Операции, свързани с дребномащабния крайбрежен риболов — могат да се ползват от </w:t>
            </w:r>
            <w:r w:rsidRPr="005C5711">
              <w:rPr>
                <w:rFonts w:cs="EUAlbertina"/>
                <w:b/>
                <w:color w:val="0070C0"/>
                <w:u w:val="single"/>
                <w:lang w:val="bg-BG"/>
              </w:rPr>
              <w:t>увеличение с 25 процентни</w:t>
            </w:r>
            <w:r w:rsidRPr="005C5711">
              <w:rPr>
                <w:rFonts w:cs="EUAlbertina"/>
                <w:color w:val="0070C0"/>
                <w:lang w:val="bg-BG"/>
              </w:rPr>
              <w:t xml:space="preserve"> пункта</w:t>
            </w:r>
          </w:p>
        </w:tc>
        <w:tc>
          <w:tcPr>
            <w:tcW w:w="2856" w:type="dxa"/>
          </w:tcPr>
          <w:p w:rsidR="008B0053" w:rsidRPr="005C5711" w:rsidRDefault="008B0053" w:rsidP="008B0053">
            <w:pPr>
              <w:pStyle w:val="ListParagraph"/>
              <w:ind w:left="0"/>
              <w:rPr>
                <w:rFonts w:cs="EUAlbertina"/>
                <w:color w:val="0070C0"/>
                <w:lang w:val="bg-BG"/>
              </w:rPr>
            </w:pPr>
            <w:r w:rsidRPr="005C5711">
              <w:rPr>
                <w:rFonts w:cs="EUAlbertina"/>
                <w:color w:val="0070C0"/>
                <w:lang w:val="bg-BG"/>
              </w:rPr>
              <w:t xml:space="preserve">Операции, свързани с дребномащабния крайбрежен риболов — могат да се ползват от </w:t>
            </w:r>
            <w:r w:rsidRPr="005C5711">
              <w:rPr>
                <w:rFonts w:cs="EUAlbertina"/>
                <w:b/>
                <w:color w:val="0070C0"/>
                <w:u w:val="single"/>
                <w:lang w:val="bg-BG"/>
              </w:rPr>
              <w:t>увеличение с 30 процентни</w:t>
            </w:r>
            <w:r w:rsidRPr="005C5711">
              <w:rPr>
                <w:rFonts w:cs="EUAlbertina"/>
                <w:color w:val="0070C0"/>
                <w:lang w:val="bg-BG"/>
              </w:rPr>
              <w:t xml:space="preserve"> пункта</w:t>
            </w:r>
          </w:p>
        </w:tc>
        <w:tc>
          <w:tcPr>
            <w:tcW w:w="2856" w:type="dxa"/>
          </w:tcPr>
          <w:p w:rsidR="008B0053" w:rsidRPr="005C5711" w:rsidRDefault="008B0053" w:rsidP="00777B6C">
            <w:pPr>
              <w:pStyle w:val="ListParagraph"/>
              <w:ind w:left="0"/>
              <w:rPr>
                <w:rFonts w:cs="EUAlbertina"/>
                <w:color w:val="FF0000"/>
                <w:lang w:val="bg-BG"/>
              </w:rPr>
            </w:pPr>
            <w:r w:rsidRPr="005C5711">
              <w:rPr>
                <w:rFonts w:cs="EUAlbertina"/>
                <w:color w:val="FF0000"/>
                <w:lang w:val="bg-BG"/>
              </w:rPr>
              <w:t>+5 процентни пункта</w:t>
            </w:r>
          </w:p>
        </w:tc>
      </w:tr>
      <w:tr w:rsidR="00E07CFD" w:rsidRPr="005C5711" w:rsidTr="008B0053">
        <w:tc>
          <w:tcPr>
            <w:tcW w:w="2856" w:type="dxa"/>
          </w:tcPr>
          <w:p w:rsidR="008B0053" w:rsidRPr="005C5711" w:rsidRDefault="008B0053" w:rsidP="00E07CFD">
            <w:pPr>
              <w:pStyle w:val="ListParagraph"/>
              <w:ind w:left="-11" w:firstLine="11"/>
              <w:rPr>
                <w:rFonts w:cs="EUAlbertina"/>
                <w:color w:val="0070C0"/>
                <w:lang w:val="bg-BG"/>
              </w:rPr>
            </w:pPr>
            <w:r w:rsidRPr="005C5711">
              <w:rPr>
                <w:rFonts w:cs="Times New Roman"/>
                <w:bCs/>
                <w:color w:val="0070C0"/>
                <w:lang w:val="bg-BG"/>
              </w:rPr>
              <w:t>Проекти, о</w:t>
            </w:r>
            <w:r w:rsidRPr="00777B6C">
              <w:rPr>
                <w:rFonts w:cs="Times New Roman"/>
                <w:bCs/>
                <w:color w:val="0070C0"/>
                <w:lang w:val="bg-BG"/>
              </w:rPr>
              <w:t>съществявани от организации на производители или от асоциации на организации на производители— могат да се по</w:t>
            </w:r>
            <w:r w:rsidRPr="005C5711">
              <w:rPr>
                <w:rFonts w:cs="Times New Roman"/>
                <w:bCs/>
                <w:color w:val="0070C0"/>
                <w:lang w:val="bg-BG"/>
              </w:rPr>
              <w:t xml:space="preserve">лзват от </w:t>
            </w:r>
            <w:r w:rsidRPr="005C5711">
              <w:rPr>
                <w:rFonts w:cs="Times New Roman"/>
                <w:b/>
                <w:bCs/>
                <w:color w:val="0070C0"/>
                <w:u w:val="single"/>
                <w:lang w:val="bg-BG"/>
              </w:rPr>
              <w:t xml:space="preserve">увеличение с 20 </w:t>
            </w:r>
            <w:r w:rsidRPr="005C5711">
              <w:rPr>
                <w:rFonts w:cs="EUAlbertina"/>
                <w:b/>
                <w:color w:val="0070C0"/>
                <w:u w:val="single"/>
                <w:lang w:val="bg-BG"/>
              </w:rPr>
              <w:t>процентни</w:t>
            </w:r>
            <w:r w:rsidRPr="005C5711">
              <w:rPr>
                <w:rFonts w:cs="EUAlbertina"/>
                <w:color w:val="0070C0"/>
                <w:lang w:val="bg-BG"/>
              </w:rPr>
              <w:t xml:space="preserve"> пункта</w:t>
            </w:r>
          </w:p>
        </w:tc>
        <w:tc>
          <w:tcPr>
            <w:tcW w:w="2856" w:type="dxa"/>
          </w:tcPr>
          <w:p w:rsidR="008B0053" w:rsidRPr="005C5711" w:rsidRDefault="008B0053" w:rsidP="00E07CFD">
            <w:pPr>
              <w:pStyle w:val="ListParagraph"/>
              <w:ind w:left="-11" w:firstLine="11"/>
              <w:rPr>
                <w:rFonts w:cs="EUAlbertina"/>
                <w:color w:val="0070C0"/>
                <w:lang w:val="bg-BG"/>
              </w:rPr>
            </w:pPr>
            <w:r w:rsidRPr="005C5711">
              <w:rPr>
                <w:rFonts w:cs="Times New Roman"/>
                <w:bCs/>
                <w:color w:val="0070C0"/>
                <w:lang w:val="bg-BG"/>
              </w:rPr>
              <w:t>Проекти, о</w:t>
            </w:r>
            <w:r w:rsidRPr="00777B6C">
              <w:rPr>
                <w:rFonts w:cs="Times New Roman"/>
                <w:bCs/>
                <w:color w:val="0070C0"/>
                <w:lang w:val="bg-BG"/>
              </w:rPr>
              <w:t>съществявани от организации на производители или от асоциации на организации на производители— могат да се по</w:t>
            </w:r>
            <w:r w:rsidRPr="005C5711">
              <w:rPr>
                <w:rFonts w:cs="Times New Roman"/>
                <w:bCs/>
                <w:color w:val="0070C0"/>
                <w:lang w:val="bg-BG"/>
              </w:rPr>
              <w:t xml:space="preserve">лзват от </w:t>
            </w:r>
            <w:r w:rsidRPr="005C5711">
              <w:rPr>
                <w:rFonts w:cs="Times New Roman"/>
                <w:b/>
                <w:bCs/>
                <w:color w:val="0070C0"/>
                <w:u w:val="single"/>
                <w:lang w:val="bg-BG"/>
              </w:rPr>
              <w:t xml:space="preserve">увеличение с 20 </w:t>
            </w:r>
            <w:r w:rsidRPr="005C5711">
              <w:rPr>
                <w:rFonts w:cs="EUAlbertina"/>
                <w:b/>
                <w:color w:val="0070C0"/>
                <w:u w:val="single"/>
                <w:lang w:val="bg-BG"/>
              </w:rPr>
              <w:t>процентни</w:t>
            </w:r>
            <w:r w:rsidRPr="005C5711">
              <w:rPr>
                <w:rFonts w:cs="EUAlbertina"/>
                <w:color w:val="0070C0"/>
                <w:lang w:val="bg-BG"/>
              </w:rPr>
              <w:t xml:space="preserve"> пункта</w:t>
            </w:r>
          </w:p>
        </w:tc>
        <w:tc>
          <w:tcPr>
            <w:tcW w:w="2856" w:type="dxa"/>
          </w:tcPr>
          <w:p w:rsidR="008B0053" w:rsidRPr="005C5711" w:rsidRDefault="008B0053" w:rsidP="00777B6C">
            <w:pPr>
              <w:pStyle w:val="ListParagraph"/>
              <w:ind w:left="0"/>
              <w:rPr>
                <w:rFonts w:cs="EUAlbertina"/>
                <w:color w:val="FF0000"/>
                <w:lang w:val="bg-BG"/>
              </w:rPr>
            </w:pPr>
            <w:r w:rsidRPr="005C5711">
              <w:rPr>
                <w:rFonts w:cs="EUAlbertina"/>
                <w:color w:val="FF0000"/>
                <w:lang w:val="bg-BG"/>
              </w:rPr>
              <w:t>+5 процентни пункта</w:t>
            </w:r>
          </w:p>
        </w:tc>
      </w:tr>
    </w:tbl>
    <w:p w:rsidR="00777B6C" w:rsidRDefault="00777B6C" w:rsidP="00777B6C">
      <w:pPr>
        <w:pStyle w:val="ListParagraph"/>
        <w:rPr>
          <w:rFonts w:cs="EUAlbertina"/>
          <w:color w:val="000000"/>
          <w:sz w:val="19"/>
          <w:szCs w:val="19"/>
        </w:rPr>
      </w:pPr>
    </w:p>
    <w:p w:rsidR="00777B6C" w:rsidRDefault="00777B6C" w:rsidP="00777B6C">
      <w:pPr>
        <w:pStyle w:val="ListParagraph"/>
        <w:rPr>
          <w:rFonts w:cs="EUAlbertina"/>
          <w:color w:val="000000"/>
          <w:sz w:val="19"/>
          <w:szCs w:val="19"/>
        </w:rPr>
      </w:pPr>
    </w:p>
    <w:p w:rsidR="007C591E" w:rsidRPr="00155153" w:rsidRDefault="006D62A5" w:rsidP="00155153">
      <w:pPr>
        <w:pStyle w:val="ListParagraph"/>
        <w:numPr>
          <w:ilvl w:val="0"/>
          <w:numId w:val="6"/>
        </w:numPr>
        <w:rPr>
          <w:rFonts w:ascii="Calibri" w:hAnsi="Calibri" w:cs="Times New Roman"/>
          <w:b/>
          <w:smallCaps/>
          <w:sz w:val="28"/>
          <w:szCs w:val="28"/>
          <w:lang w:eastAsia="bg-BG"/>
        </w:rPr>
      </w:pPr>
      <w:r w:rsidRPr="00155153">
        <w:rPr>
          <w:rFonts w:ascii="Calibri" w:hAnsi="Calibri" w:cs="Times New Roman"/>
          <w:b/>
          <w:smallCaps/>
          <w:sz w:val="28"/>
          <w:szCs w:val="28"/>
          <w:lang w:eastAsia="bg-BG"/>
        </w:rPr>
        <w:t>Нови индикатори</w:t>
      </w:r>
      <w:r w:rsidR="008F2217">
        <w:rPr>
          <w:rFonts w:ascii="Calibri" w:hAnsi="Calibri" w:cs="Times New Roman"/>
          <w:b/>
          <w:smallCaps/>
          <w:sz w:val="28"/>
          <w:szCs w:val="28"/>
          <w:lang w:eastAsia="bg-BG"/>
        </w:rPr>
        <w:t xml:space="preserve"> – </w:t>
      </w:r>
      <w:r w:rsidR="008F2217" w:rsidRPr="00CD002A">
        <w:rPr>
          <w:rFonts w:ascii="Calibri" w:hAnsi="Calibri" w:cs="Times New Roman"/>
          <w:b/>
          <w:smallCaps/>
          <w:color w:val="FF0000"/>
          <w:sz w:val="28"/>
          <w:szCs w:val="28"/>
          <w:lang w:eastAsia="bg-BG"/>
        </w:rPr>
        <w:t xml:space="preserve">чака се </w:t>
      </w:r>
      <w:r w:rsidR="00CD002A" w:rsidRPr="00CD002A">
        <w:rPr>
          <w:rFonts w:ascii="Calibri" w:hAnsi="Calibri" w:cs="Times New Roman"/>
          <w:b/>
          <w:smallCaps/>
          <w:color w:val="FF0000"/>
          <w:sz w:val="28"/>
          <w:szCs w:val="28"/>
          <w:lang w:eastAsia="bg-BG"/>
        </w:rPr>
        <w:t xml:space="preserve">нов фиш </w:t>
      </w:r>
      <w:r w:rsidR="00CD002A" w:rsidRPr="00CD002A">
        <w:rPr>
          <w:rFonts w:ascii="Calibri" w:hAnsi="Calibri" w:cs="Times New Roman"/>
          <w:b/>
          <w:smallCaps/>
          <w:color w:val="FF0000"/>
          <w:sz w:val="28"/>
          <w:szCs w:val="28"/>
          <w:lang w:val="en-US" w:eastAsia="bg-BG"/>
        </w:rPr>
        <w:t>(</w:t>
      </w:r>
      <w:r w:rsidR="00CD002A" w:rsidRPr="00CD002A">
        <w:rPr>
          <w:rFonts w:ascii="Calibri" w:hAnsi="Calibri" w:cs="Times New Roman"/>
          <w:b/>
          <w:smallCaps/>
          <w:color w:val="FF0000"/>
          <w:sz w:val="28"/>
          <w:szCs w:val="28"/>
          <w:lang w:eastAsia="bg-BG"/>
        </w:rPr>
        <w:t>делегиращ акт</w:t>
      </w:r>
      <w:r w:rsidR="00CD002A" w:rsidRPr="00CD002A">
        <w:rPr>
          <w:rFonts w:ascii="Calibri" w:hAnsi="Calibri" w:cs="Times New Roman"/>
          <w:b/>
          <w:smallCaps/>
          <w:color w:val="FF0000"/>
          <w:sz w:val="28"/>
          <w:szCs w:val="28"/>
          <w:lang w:val="en-US" w:eastAsia="bg-BG"/>
        </w:rPr>
        <w:t>)</w:t>
      </w:r>
    </w:p>
    <w:sectPr w:rsidR="007C591E" w:rsidRPr="00155153" w:rsidSect="00C9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BC2"/>
    <w:multiLevelType w:val="hybridMultilevel"/>
    <w:tmpl w:val="4664C4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2A12"/>
    <w:multiLevelType w:val="hybridMultilevel"/>
    <w:tmpl w:val="841E01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1CF4"/>
    <w:multiLevelType w:val="hybridMultilevel"/>
    <w:tmpl w:val="F9A822FC"/>
    <w:lvl w:ilvl="0" w:tplc="C1F08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4397"/>
    <w:multiLevelType w:val="hybridMultilevel"/>
    <w:tmpl w:val="5CC2D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1EC0"/>
    <w:multiLevelType w:val="hybridMultilevel"/>
    <w:tmpl w:val="DB2E33FE"/>
    <w:lvl w:ilvl="0" w:tplc="C1F08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3A85"/>
    <w:multiLevelType w:val="hybridMultilevel"/>
    <w:tmpl w:val="3D7E6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6068"/>
    <w:multiLevelType w:val="hybridMultilevel"/>
    <w:tmpl w:val="33D4A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725D"/>
    <w:multiLevelType w:val="hybridMultilevel"/>
    <w:tmpl w:val="5CC2D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E54"/>
    <w:multiLevelType w:val="hybridMultilevel"/>
    <w:tmpl w:val="CE02D3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45F8"/>
    <w:multiLevelType w:val="hybridMultilevel"/>
    <w:tmpl w:val="7A188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F2D6E"/>
    <w:multiLevelType w:val="hybridMultilevel"/>
    <w:tmpl w:val="7A188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C225D"/>
    <w:multiLevelType w:val="hybridMultilevel"/>
    <w:tmpl w:val="4F529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1"/>
    <w:rsid w:val="00012DA1"/>
    <w:rsid w:val="00055014"/>
    <w:rsid w:val="00056AE3"/>
    <w:rsid w:val="00056E6D"/>
    <w:rsid w:val="00090C85"/>
    <w:rsid w:val="000C13EB"/>
    <w:rsid w:val="0012364E"/>
    <w:rsid w:val="00155153"/>
    <w:rsid w:val="00196C8C"/>
    <w:rsid w:val="002C5CCE"/>
    <w:rsid w:val="003E2265"/>
    <w:rsid w:val="00431CA2"/>
    <w:rsid w:val="004526C8"/>
    <w:rsid w:val="004D757A"/>
    <w:rsid w:val="0057308F"/>
    <w:rsid w:val="005B25E1"/>
    <w:rsid w:val="005C5711"/>
    <w:rsid w:val="005E5CA0"/>
    <w:rsid w:val="00695D9F"/>
    <w:rsid w:val="006A4BE4"/>
    <w:rsid w:val="006D62A5"/>
    <w:rsid w:val="00732B35"/>
    <w:rsid w:val="00777B6C"/>
    <w:rsid w:val="00790DD6"/>
    <w:rsid w:val="00794E12"/>
    <w:rsid w:val="007C591E"/>
    <w:rsid w:val="007E1CF9"/>
    <w:rsid w:val="00816DDC"/>
    <w:rsid w:val="00824887"/>
    <w:rsid w:val="00863088"/>
    <w:rsid w:val="008B0053"/>
    <w:rsid w:val="008F2217"/>
    <w:rsid w:val="00A72C76"/>
    <w:rsid w:val="00B03471"/>
    <w:rsid w:val="00B45A29"/>
    <w:rsid w:val="00B47028"/>
    <w:rsid w:val="00C9643B"/>
    <w:rsid w:val="00CD002A"/>
    <w:rsid w:val="00CE4DF6"/>
    <w:rsid w:val="00D93636"/>
    <w:rsid w:val="00DD1CB9"/>
    <w:rsid w:val="00E07CFD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C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C5CCE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C5CCE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59"/>
    <w:rsid w:val="004526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695D9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777B6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CE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C5CCE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2C5CCE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59"/>
    <w:rsid w:val="004526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695D9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777B6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13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ELANA</Company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Tsvetanska</dc:creator>
  <cp:lastModifiedBy>Velislava Ivanova - PM</cp:lastModifiedBy>
  <cp:revision>19</cp:revision>
  <dcterms:created xsi:type="dcterms:W3CDTF">2014-05-31T07:00:00Z</dcterms:created>
  <dcterms:modified xsi:type="dcterms:W3CDTF">2014-06-05T08:52:00Z</dcterms:modified>
</cp:coreProperties>
</file>